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FC4DD">
      <w:pPr>
        <w:autoSpaceDE w:val="0"/>
        <w:autoSpaceDN w:val="0"/>
        <w:adjustRightInd w:val="0"/>
        <w:jc w:val="center"/>
        <w:rPr>
          <w:rFonts w:ascii="Times New Roman" w:hAnsi="Times New Roman" w:eastAsia="方正小标宋简体" w:cs="方正小标宋简体"/>
          <w:kern w:val="0"/>
          <w:sz w:val="48"/>
          <w:szCs w:val="48"/>
          <w:lang w:val="zh-CN"/>
        </w:rPr>
      </w:pPr>
    </w:p>
    <w:p w14:paraId="54A39E44">
      <w:pPr>
        <w:autoSpaceDE w:val="0"/>
        <w:autoSpaceDN w:val="0"/>
        <w:adjustRightInd w:val="0"/>
        <w:jc w:val="center"/>
        <w:rPr>
          <w:rFonts w:ascii="Times New Roman" w:hAnsi="Times New Roman" w:eastAsia="方正小标宋简体" w:cs="方正小标宋简体"/>
          <w:kern w:val="0"/>
          <w:sz w:val="48"/>
          <w:szCs w:val="48"/>
          <w:lang w:val="zh-CN"/>
        </w:rPr>
      </w:pPr>
    </w:p>
    <w:p w14:paraId="2408FEF4">
      <w:pPr>
        <w:autoSpaceDE w:val="0"/>
        <w:autoSpaceDN w:val="0"/>
        <w:adjustRightInd w:val="0"/>
        <w:jc w:val="center"/>
        <w:rPr>
          <w:rFonts w:ascii="Times New Roman" w:hAnsi="Times New Roman" w:eastAsia="方正小标宋简体" w:cs="方正小标宋简体"/>
          <w:kern w:val="0"/>
          <w:sz w:val="48"/>
          <w:szCs w:val="48"/>
          <w:lang w:val="zh-CN"/>
        </w:rPr>
      </w:pPr>
    </w:p>
    <w:p w14:paraId="41AC9993">
      <w:pPr>
        <w:autoSpaceDE w:val="0"/>
        <w:autoSpaceDN w:val="0"/>
        <w:adjustRightInd w:val="0"/>
        <w:jc w:val="center"/>
        <w:rPr>
          <w:rFonts w:ascii="Times New Roman" w:hAnsi="Times New Roman" w:eastAsia="方正小标宋简体" w:cs="方正小标宋简体"/>
          <w:kern w:val="0"/>
          <w:sz w:val="48"/>
          <w:szCs w:val="48"/>
          <w:lang w:val="zh-CN"/>
        </w:rPr>
      </w:pPr>
    </w:p>
    <w:p w14:paraId="222F5E06">
      <w:pPr>
        <w:autoSpaceDE w:val="0"/>
        <w:autoSpaceDN w:val="0"/>
        <w:adjustRightInd w:val="0"/>
        <w:jc w:val="center"/>
        <w:rPr>
          <w:rFonts w:ascii="Times New Roman" w:hAnsi="Times New Roman" w:eastAsia="方正小标宋简体" w:cs="方正小标宋简体"/>
          <w:kern w:val="0"/>
          <w:sz w:val="48"/>
          <w:szCs w:val="48"/>
          <w:lang w:val="zh-CN"/>
        </w:rPr>
      </w:pPr>
    </w:p>
    <w:p w14:paraId="5C83EFA4">
      <w:pPr>
        <w:autoSpaceDE w:val="0"/>
        <w:autoSpaceDN w:val="0"/>
        <w:adjustRightInd w:val="0"/>
        <w:jc w:val="center"/>
        <w:rPr>
          <w:rFonts w:ascii="Times New Roman" w:hAnsi="Times New Roman" w:eastAsia="方正小标宋简体" w:cs="方正小标宋简体"/>
          <w:kern w:val="0"/>
          <w:sz w:val="48"/>
          <w:szCs w:val="48"/>
          <w:lang w:val="zh-CN"/>
        </w:rPr>
      </w:pPr>
    </w:p>
    <w:p w14:paraId="1943C8D4">
      <w:pPr>
        <w:autoSpaceDE w:val="0"/>
        <w:autoSpaceDN w:val="0"/>
        <w:adjustRightInd w:val="0"/>
        <w:jc w:val="center"/>
        <w:rPr>
          <w:rFonts w:ascii="Times New Roman" w:hAnsi="Times New Roman" w:eastAsia="方正小标宋简体" w:cs="方正小标宋简体"/>
          <w:kern w:val="0"/>
          <w:sz w:val="48"/>
          <w:szCs w:val="48"/>
          <w:lang w:val="zh-CN"/>
        </w:rPr>
      </w:pPr>
    </w:p>
    <w:p w14:paraId="142D4A04">
      <w:pPr>
        <w:autoSpaceDE w:val="0"/>
        <w:autoSpaceDN w:val="0"/>
        <w:adjustRightInd w:val="0"/>
        <w:jc w:val="center"/>
        <w:rPr>
          <w:rFonts w:ascii="Times New Roman" w:hAnsi="Times New Roman" w:eastAsia="方正小标宋简体" w:cs="方正小标宋简体"/>
          <w:kern w:val="0"/>
          <w:sz w:val="48"/>
          <w:szCs w:val="48"/>
          <w:lang w:val="zh-CN"/>
        </w:rPr>
      </w:pPr>
    </w:p>
    <w:p w14:paraId="12659BC8">
      <w:pPr>
        <w:autoSpaceDE w:val="0"/>
        <w:autoSpaceDN w:val="0"/>
        <w:adjustRightInd w:val="0"/>
        <w:jc w:val="center"/>
        <w:rPr>
          <w:rFonts w:hint="eastAsia"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天津市交通（集团）有限公司（本级）</w:t>
      </w:r>
    </w:p>
    <w:p w14:paraId="53725328">
      <w:pPr>
        <w:autoSpaceDE w:val="0"/>
        <w:autoSpaceDN w:val="0"/>
        <w:adjustRightInd w:val="0"/>
        <w:jc w:val="center"/>
        <w:rPr>
          <w:rFonts w:ascii="Times New Roman" w:hAnsi="Times New Roman" w:eastAsia="方正小标宋简体" w:cs="方正小标宋简体"/>
          <w:kern w:val="0"/>
          <w:sz w:val="48"/>
          <w:szCs w:val="48"/>
          <w:lang w:val="zh-CN"/>
        </w:rPr>
      </w:pPr>
      <w:bookmarkStart w:id="0" w:name="_GoBack"/>
      <w:bookmarkEnd w:id="0"/>
      <w:r>
        <w:rPr>
          <w:rFonts w:hint="eastAsia" w:ascii="Times New Roman" w:hAnsi="Times New Roman" w:eastAsia="方正小标宋简体" w:cs="方正小标宋简体"/>
          <w:kern w:val="0"/>
          <w:sz w:val="48"/>
          <w:szCs w:val="48"/>
          <w:lang w:val="zh-CN"/>
        </w:rPr>
        <w:t>2023年度部门决算</w:t>
      </w:r>
    </w:p>
    <w:p w14:paraId="1119D328">
      <w:pPr>
        <w:autoSpaceDE w:val="0"/>
        <w:autoSpaceDN w:val="0"/>
        <w:adjustRightInd w:val="0"/>
        <w:spacing w:line="580" w:lineRule="exact"/>
        <w:jc w:val="center"/>
        <w:rPr>
          <w:rFonts w:ascii="Times New Roman" w:hAnsi="Times New Roman" w:eastAsia="黑体" w:cs="黑体"/>
          <w:sz w:val="30"/>
          <w:szCs w:val="30"/>
        </w:rPr>
      </w:pPr>
    </w:p>
    <w:p w14:paraId="46770C80">
      <w:pPr>
        <w:autoSpaceDE w:val="0"/>
        <w:autoSpaceDN w:val="0"/>
        <w:adjustRightInd w:val="0"/>
        <w:spacing w:line="580" w:lineRule="exact"/>
        <w:jc w:val="center"/>
        <w:rPr>
          <w:rFonts w:ascii="Times New Roman" w:hAnsi="Times New Roman" w:eastAsia="黑体" w:cs="黑体"/>
          <w:sz w:val="30"/>
          <w:szCs w:val="30"/>
        </w:rPr>
      </w:pPr>
    </w:p>
    <w:p w14:paraId="630ACF21">
      <w:pPr>
        <w:autoSpaceDE w:val="0"/>
        <w:autoSpaceDN w:val="0"/>
        <w:adjustRightInd w:val="0"/>
        <w:spacing w:line="580" w:lineRule="exact"/>
        <w:jc w:val="center"/>
        <w:rPr>
          <w:rFonts w:ascii="Times New Roman" w:hAnsi="Times New Roman" w:eastAsia="黑体" w:cs="黑体"/>
          <w:sz w:val="30"/>
          <w:szCs w:val="30"/>
        </w:rPr>
      </w:pPr>
    </w:p>
    <w:p w14:paraId="5C02772F">
      <w:pPr>
        <w:autoSpaceDE w:val="0"/>
        <w:autoSpaceDN w:val="0"/>
        <w:adjustRightInd w:val="0"/>
        <w:spacing w:line="580" w:lineRule="exact"/>
        <w:jc w:val="center"/>
        <w:rPr>
          <w:rFonts w:ascii="Times New Roman" w:hAnsi="Times New Roman" w:eastAsia="黑体" w:cs="黑体"/>
          <w:sz w:val="30"/>
          <w:szCs w:val="30"/>
        </w:rPr>
      </w:pPr>
    </w:p>
    <w:p w14:paraId="15C279AD">
      <w:pPr>
        <w:autoSpaceDE w:val="0"/>
        <w:autoSpaceDN w:val="0"/>
        <w:adjustRightInd w:val="0"/>
        <w:spacing w:line="580" w:lineRule="exact"/>
        <w:jc w:val="center"/>
        <w:rPr>
          <w:rFonts w:ascii="Times New Roman" w:hAnsi="Times New Roman" w:eastAsia="黑体" w:cs="黑体"/>
          <w:sz w:val="30"/>
          <w:szCs w:val="30"/>
        </w:rPr>
      </w:pPr>
    </w:p>
    <w:p w14:paraId="65ED4C12">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6C7E24DA">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5EE3434B">
      <w:pPr>
        <w:autoSpaceDE w:val="0"/>
        <w:autoSpaceDN w:val="0"/>
        <w:adjustRightInd w:val="0"/>
        <w:spacing w:line="600" w:lineRule="exact"/>
        <w:jc w:val="left"/>
        <w:rPr>
          <w:rFonts w:ascii="Times New Roman" w:hAnsi="Times New Roman" w:eastAsia="黑体" w:cs="黑体"/>
          <w:kern w:val="0"/>
          <w:sz w:val="30"/>
          <w:szCs w:val="30"/>
        </w:rPr>
      </w:pPr>
    </w:p>
    <w:p w14:paraId="662B9633">
      <w:pPr>
        <w:pStyle w:val="7"/>
        <w:tabs>
          <w:tab w:val="right" w:leader="dot" w:pos="8306"/>
        </w:tabs>
        <w:spacing w:after="0" w:line="700" w:lineRule="exact"/>
        <w:rPr>
          <w:rFonts w:ascii="Times New Roman" w:hAnsi="Times New Roman" w:eastAsia="仿宋_GB2312"/>
          <w:sz w:val="30"/>
          <w:szCs w:val="30"/>
        </w:rPr>
      </w:pPr>
      <w:r>
        <w:rPr>
          <w:rFonts w:hint="eastAsia" w:ascii="Times New Roman" w:hAnsi="Times New Roman" w:eastAsia="方正小标宋简体" w:cs="方正小标宋简体"/>
          <w:sz w:val="30"/>
          <w:szCs w:val="30"/>
        </w:rPr>
        <w:t>第一部分  概 况</w:t>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_Toc26464 </w:instrText>
      </w:r>
      <w:r>
        <w:rPr>
          <w:rFonts w:ascii="Times New Roman" w:hAnsi="Times New Roman" w:eastAsia="仿宋_GB2312"/>
          <w:sz w:val="30"/>
          <w:szCs w:val="30"/>
        </w:rPr>
        <w:fldChar w:fldCharType="separate"/>
      </w:r>
      <w:r>
        <w:rPr>
          <w:rFonts w:ascii="Times New Roman" w:hAnsi="Times New Roman" w:eastAsia="仿宋_GB2312"/>
          <w:sz w:val="30"/>
          <w:szCs w:val="30"/>
        </w:rPr>
        <w:tab/>
      </w:r>
      <w:r>
        <w:rPr>
          <w:rFonts w:ascii="Times New Roman" w:hAnsi="Times New Roman" w:eastAsia="仿宋_GB2312"/>
          <w:sz w:val="30"/>
          <w:szCs w:val="30"/>
        </w:rPr>
        <w:fldChar w:fldCharType="end"/>
      </w:r>
      <w:r>
        <w:rPr>
          <w:rFonts w:hint="eastAsia" w:ascii="Times New Roman" w:hAnsi="Times New Roman" w:eastAsia="仿宋_GB2312"/>
          <w:sz w:val="30"/>
          <w:szCs w:val="30"/>
        </w:rPr>
        <w:t>1</w:t>
      </w:r>
    </w:p>
    <w:p w14:paraId="2E354B9D">
      <w:pPr>
        <w:pStyle w:val="7"/>
        <w:tabs>
          <w:tab w:val="right" w:leader="dot" w:pos="8306"/>
        </w:tabs>
        <w:spacing w:after="0" w:line="700" w:lineRule="exact"/>
        <w:rPr>
          <w:rFonts w:ascii="Times New Roman" w:hAnsi="Times New Roman" w:eastAsia="仿宋_GB2312"/>
          <w:sz w:val="30"/>
          <w:szCs w:val="30"/>
        </w:rPr>
      </w:pPr>
      <w:r>
        <w:rPr>
          <w:rFonts w:hint="eastAsia" w:ascii="Times New Roman" w:hAnsi="Times New Roman" w:eastAsia="仿宋_GB2312" w:cs="仿宋_GB2312"/>
          <w:sz w:val="30"/>
          <w:szCs w:val="30"/>
        </w:rPr>
        <w:t>一、主要职责</w:t>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_Toc26464 </w:instrText>
      </w:r>
      <w:r>
        <w:rPr>
          <w:rFonts w:ascii="Times New Roman" w:hAnsi="Times New Roman" w:eastAsia="仿宋_GB2312"/>
          <w:sz w:val="30"/>
          <w:szCs w:val="30"/>
        </w:rPr>
        <w:fldChar w:fldCharType="separate"/>
      </w:r>
      <w:r>
        <w:rPr>
          <w:rFonts w:ascii="Times New Roman" w:hAnsi="Times New Roman" w:eastAsia="仿宋_GB2312"/>
          <w:sz w:val="30"/>
          <w:szCs w:val="30"/>
        </w:rPr>
        <w:tab/>
      </w:r>
      <w:r>
        <w:rPr>
          <w:rFonts w:ascii="Times New Roman" w:hAnsi="Times New Roman" w:eastAsia="仿宋_GB2312"/>
          <w:sz w:val="30"/>
          <w:szCs w:val="30"/>
        </w:rPr>
        <w:fldChar w:fldCharType="end"/>
      </w:r>
      <w:r>
        <w:fldChar w:fldCharType="begin"/>
      </w:r>
      <w:r>
        <w:instrText xml:space="preserve"> HYPERLINK \l "_Toc26464" </w:instrText>
      </w:r>
      <w:r>
        <w:fldChar w:fldCharType="separate"/>
      </w:r>
      <w:r>
        <w:rPr>
          <w:rFonts w:hint="eastAsia" w:ascii="Times New Roman" w:hAnsi="Times New Roman" w:eastAsia="仿宋_GB2312"/>
          <w:sz w:val="30"/>
          <w:szCs w:val="30"/>
        </w:rPr>
        <w:t>1</w:t>
      </w:r>
      <w:r>
        <w:rPr>
          <w:rFonts w:hint="eastAsia" w:ascii="Times New Roman" w:hAnsi="Times New Roman" w:eastAsia="仿宋_GB2312"/>
          <w:sz w:val="30"/>
          <w:szCs w:val="30"/>
        </w:rPr>
        <w:fldChar w:fldCharType="end"/>
      </w:r>
    </w:p>
    <w:p w14:paraId="147D5FD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_Toc26464 </w:instrText>
      </w:r>
      <w:r>
        <w:rPr>
          <w:rFonts w:ascii="Times New Roman" w:hAnsi="Times New Roman" w:eastAsia="仿宋_GB2312"/>
          <w:sz w:val="30"/>
          <w:szCs w:val="30"/>
        </w:rPr>
        <w:fldChar w:fldCharType="separate"/>
      </w:r>
      <w:r>
        <w:rPr>
          <w:rFonts w:ascii="Times New Roman" w:hAnsi="Times New Roman" w:eastAsia="仿宋_GB2312"/>
          <w:sz w:val="30"/>
          <w:szCs w:val="30"/>
        </w:rPr>
        <w:tab/>
      </w:r>
      <w:r>
        <w:rPr>
          <w:rFonts w:ascii="Times New Roman" w:hAnsi="Times New Roman" w:eastAsia="仿宋_GB2312"/>
          <w:sz w:val="30"/>
          <w:szCs w:val="30"/>
        </w:rPr>
        <w:fldChar w:fldCharType="end"/>
      </w:r>
      <w:r>
        <w:rPr>
          <w:rFonts w:hint="eastAsia" w:ascii="Times New Roman" w:hAnsi="Times New Roman" w:eastAsia="仿宋_GB2312"/>
          <w:sz w:val="30"/>
          <w:szCs w:val="30"/>
        </w:rPr>
        <w:t>1</w:t>
      </w:r>
    </w:p>
    <w:p w14:paraId="49A097C5">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ascii="Times New Roman" w:hAnsi="Times New Roman" w:eastAsia="仿宋_GB2312"/>
          <w:sz w:val="30"/>
          <w:szCs w:val="30"/>
        </w:rPr>
        <w:fldChar w:fldCharType="end"/>
      </w:r>
      <w:r>
        <w:rPr>
          <w:rFonts w:hint="eastAsia" w:ascii="Times New Roman" w:hAnsi="Times New Roman" w:eastAsia="仿宋_GB2312"/>
          <w:sz w:val="30"/>
          <w:szCs w:val="30"/>
        </w:rPr>
        <w:t>2</w:t>
      </w:r>
    </w:p>
    <w:p w14:paraId="527570D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ascii="Times New Roman" w:hAnsi="Times New Roman" w:eastAsia="仿宋_GB2312"/>
          <w:sz w:val="30"/>
          <w:szCs w:val="30"/>
        </w:rPr>
        <w:fldChar w:fldCharType="end"/>
      </w:r>
      <w:r>
        <w:rPr>
          <w:rFonts w:hint="eastAsia" w:ascii="Times New Roman" w:hAnsi="Times New Roman" w:eastAsia="仿宋_GB2312"/>
          <w:sz w:val="30"/>
          <w:szCs w:val="30"/>
        </w:rPr>
        <w:t>2</w:t>
      </w:r>
    </w:p>
    <w:p w14:paraId="71382A8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2</w:t>
      </w:r>
      <w:r>
        <w:rPr>
          <w:rFonts w:hint="eastAsia" w:ascii="Times New Roman" w:hAnsi="Times New Roman" w:eastAsia="仿宋_GB2312"/>
          <w:sz w:val="30"/>
          <w:szCs w:val="30"/>
        </w:rPr>
        <w:fldChar w:fldCharType="end"/>
      </w:r>
    </w:p>
    <w:p w14:paraId="561DF12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2</w:t>
      </w:r>
      <w:r>
        <w:rPr>
          <w:rFonts w:hint="eastAsia" w:ascii="Times New Roman" w:hAnsi="Times New Roman" w:eastAsia="仿宋_GB2312"/>
          <w:sz w:val="30"/>
          <w:szCs w:val="30"/>
        </w:rPr>
        <w:fldChar w:fldCharType="end"/>
      </w:r>
    </w:p>
    <w:p w14:paraId="00F89E6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ascii="Times New Roman" w:hAnsi="Times New Roman" w:eastAsia="仿宋_GB2312"/>
          <w:sz w:val="30"/>
          <w:szCs w:val="30"/>
        </w:rPr>
        <w:fldChar w:fldCharType="end"/>
      </w:r>
      <w:r>
        <w:rPr>
          <w:rFonts w:hint="eastAsia" w:ascii="Times New Roman" w:hAnsi="Times New Roman" w:eastAsia="仿宋_GB2312"/>
          <w:sz w:val="30"/>
          <w:szCs w:val="30"/>
        </w:rPr>
        <w:t>2</w:t>
      </w:r>
    </w:p>
    <w:p w14:paraId="0FE1B70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2</w:t>
      </w:r>
      <w:r>
        <w:rPr>
          <w:rFonts w:hint="eastAsia" w:ascii="Times New Roman" w:hAnsi="Times New Roman" w:eastAsia="仿宋_GB2312"/>
          <w:sz w:val="30"/>
          <w:szCs w:val="30"/>
        </w:rPr>
        <w:fldChar w:fldCharType="end"/>
      </w:r>
    </w:p>
    <w:p w14:paraId="192C4CE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2</w:t>
      </w:r>
      <w:r>
        <w:rPr>
          <w:rFonts w:hint="eastAsia" w:ascii="Times New Roman" w:hAnsi="Times New Roman" w:eastAsia="仿宋_GB2312"/>
          <w:sz w:val="30"/>
          <w:szCs w:val="30"/>
        </w:rPr>
        <w:fldChar w:fldCharType="end"/>
      </w:r>
    </w:p>
    <w:p w14:paraId="47A6D11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2</w:t>
      </w:r>
      <w:r>
        <w:rPr>
          <w:rFonts w:hint="eastAsia" w:ascii="Times New Roman" w:hAnsi="Times New Roman" w:eastAsia="仿宋_GB2312"/>
          <w:sz w:val="30"/>
          <w:szCs w:val="30"/>
        </w:rPr>
        <w:fldChar w:fldCharType="end"/>
      </w:r>
    </w:p>
    <w:p w14:paraId="453DFBF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2</w:t>
      </w:r>
      <w:r>
        <w:rPr>
          <w:rFonts w:hint="eastAsia" w:ascii="Times New Roman" w:hAnsi="Times New Roman" w:eastAsia="仿宋_GB2312"/>
          <w:sz w:val="30"/>
          <w:szCs w:val="30"/>
        </w:rPr>
        <w:fldChar w:fldCharType="end"/>
      </w:r>
    </w:p>
    <w:p w14:paraId="10F2B58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2</w:t>
      </w:r>
      <w:r>
        <w:rPr>
          <w:rFonts w:hint="eastAsia" w:ascii="Times New Roman" w:hAnsi="Times New Roman" w:eastAsia="仿宋_GB2312"/>
          <w:sz w:val="30"/>
          <w:szCs w:val="30"/>
        </w:rPr>
        <w:fldChar w:fldCharType="end"/>
      </w:r>
    </w:p>
    <w:p w14:paraId="4D73919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2</w:t>
      </w:r>
      <w:r>
        <w:rPr>
          <w:rFonts w:hint="eastAsia" w:ascii="Times New Roman" w:hAnsi="Times New Roman" w:eastAsia="仿宋_GB2312"/>
          <w:sz w:val="30"/>
          <w:szCs w:val="30"/>
        </w:rPr>
        <w:fldChar w:fldCharType="end"/>
      </w:r>
    </w:p>
    <w:p w14:paraId="3EDBFCF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2</w:t>
      </w:r>
      <w:r>
        <w:rPr>
          <w:rFonts w:hint="eastAsia" w:ascii="Times New Roman" w:hAnsi="Times New Roman" w:eastAsia="仿宋_GB2312"/>
          <w:sz w:val="30"/>
          <w:szCs w:val="30"/>
        </w:rPr>
        <w:fldChar w:fldCharType="end"/>
      </w:r>
    </w:p>
    <w:p w14:paraId="59A9F2D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3</w:t>
      </w:r>
      <w:r>
        <w:rPr>
          <w:rFonts w:hint="eastAsia" w:ascii="Times New Roman" w:hAnsi="Times New Roman" w:eastAsia="仿宋_GB2312"/>
          <w:sz w:val="30"/>
          <w:szCs w:val="30"/>
        </w:rPr>
        <w:fldChar w:fldCharType="end"/>
      </w:r>
    </w:p>
    <w:p w14:paraId="6F68C53B">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4</w:t>
      </w:r>
      <w:r>
        <w:rPr>
          <w:rFonts w:hint="eastAsia" w:ascii="Times New Roman" w:hAnsi="Times New Roman" w:eastAsia="仿宋_GB2312"/>
          <w:sz w:val="30"/>
          <w:szCs w:val="30"/>
        </w:rPr>
        <w:fldChar w:fldCharType="end"/>
      </w:r>
    </w:p>
    <w:p w14:paraId="5B4488E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4</w:t>
      </w:r>
      <w:r>
        <w:rPr>
          <w:rFonts w:hint="eastAsia" w:ascii="Times New Roman" w:hAnsi="Times New Roman" w:eastAsia="仿宋_GB2312"/>
          <w:sz w:val="30"/>
          <w:szCs w:val="30"/>
        </w:rPr>
        <w:fldChar w:fldCharType="end"/>
      </w:r>
    </w:p>
    <w:p w14:paraId="1992C46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ascii="Times New Roman" w:hAnsi="Times New Roman" w:eastAsia="仿宋_GB2312"/>
          <w:sz w:val="30"/>
          <w:szCs w:val="30"/>
        </w:rPr>
        <w:fldChar w:fldCharType="end"/>
      </w:r>
      <w:r>
        <w:rPr>
          <w:rFonts w:hint="eastAsia" w:ascii="Times New Roman" w:hAnsi="Times New Roman" w:eastAsia="仿宋_GB2312"/>
          <w:sz w:val="30"/>
          <w:szCs w:val="30"/>
        </w:rPr>
        <w:t>4</w:t>
      </w:r>
    </w:p>
    <w:p w14:paraId="3E0A0B7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4</w:t>
      </w:r>
      <w:r>
        <w:rPr>
          <w:rFonts w:hint="eastAsia" w:ascii="Times New Roman" w:hAnsi="Times New Roman" w:eastAsia="仿宋_GB2312"/>
          <w:sz w:val="30"/>
          <w:szCs w:val="30"/>
        </w:rPr>
        <w:fldChar w:fldCharType="end"/>
      </w:r>
    </w:p>
    <w:p w14:paraId="37900BD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4</w:t>
      </w:r>
      <w:r>
        <w:rPr>
          <w:rFonts w:hint="eastAsia" w:ascii="Times New Roman" w:hAnsi="Times New Roman" w:eastAsia="仿宋_GB2312"/>
          <w:sz w:val="30"/>
          <w:szCs w:val="30"/>
        </w:rPr>
        <w:fldChar w:fldCharType="end"/>
      </w:r>
    </w:p>
    <w:p w14:paraId="50BC177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5</w:t>
      </w:r>
      <w:r>
        <w:rPr>
          <w:rFonts w:hint="eastAsia" w:ascii="Times New Roman" w:hAnsi="Times New Roman" w:eastAsia="仿宋_GB2312"/>
          <w:sz w:val="30"/>
          <w:szCs w:val="30"/>
        </w:rPr>
        <w:fldChar w:fldCharType="end"/>
      </w:r>
    </w:p>
    <w:p w14:paraId="25B496C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6</w:t>
      </w:r>
      <w:r>
        <w:rPr>
          <w:rFonts w:hint="eastAsia" w:ascii="Times New Roman" w:hAnsi="Times New Roman" w:eastAsia="仿宋_GB2312"/>
          <w:sz w:val="30"/>
          <w:szCs w:val="30"/>
        </w:rPr>
        <w:fldChar w:fldCharType="end"/>
      </w:r>
    </w:p>
    <w:p w14:paraId="554F7FD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fldChar w:fldCharType="end"/>
      </w:r>
    </w:p>
    <w:p w14:paraId="7011227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rPr>
        <w:fldChar w:fldCharType="end"/>
      </w:r>
    </w:p>
    <w:p w14:paraId="5E00B08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7</w:t>
      </w:r>
      <w:r>
        <w:rPr>
          <w:rFonts w:hint="eastAsia" w:ascii="Times New Roman" w:hAnsi="Times New Roman" w:eastAsia="仿宋_GB2312"/>
          <w:sz w:val="30"/>
          <w:szCs w:val="30"/>
        </w:rPr>
        <w:fldChar w:fldCharType="end"/>
      </w:r>
    </w:p>
    <w:p w14:paraId="6BA64FD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8</w:t>
      </w:r>
      <w:r>
        <w:rPr>
          <w:rFonts w:hint="eastAsia" w:ascii="Times New Roman" w:hAnsi="Times New Roman" w:eastAsia="仿宋_GB2312"/>
          <w:sz w:val="30"/>
          <w:szCs w:val="30"/>
        </w:rPr>
        <w:fldChar w:fldCharType="end"/>
      </w:r>
    </w:p>
    <w:p w14:paraId="750F5C7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8</w:t>
      </w:r>
      <w:r>
        <w:rPr>
          <w:rFonts w:hint="eastAsia" w:ascii="Times New Roman" w:hAnsi="Times New Roman" w:eastAsia="仿宋_GB2312"/>
          <w:sz w:val="30"/>
          <w:szCs w:val="30"/>
        </w:rPr>
        <w:fldChar w:fldCharType="end"/>
      </w:r>
    </w:p>
    <w:p w14:paraId="1FB9E7B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8</w:t>
      </w:r>
      <w:r>
        <w:rPr>
          <w:rFonts w:hint="eastAsia" w:ascii="Times New Roman" w:hAnsi="Times New Roman" w:eastAsia="仿宋_GB2312"/>
          <w:sz w:val="30"/>
          <w:szCs w:val="30"/>
        </w:rPr>
        <w:fldChar w:fldCharType="end"/>
      </w:r>
    </w:p>
    <w:p w14:paraId="270A060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9</w:t>
      </w:r>
      <w:r>
        <w:rPr>
          <w:rFonts w:hint="eastAsia" w:ascii="Times New Roman" w:hAnsi="Times New Roman" w:eastAsia="仿宋_GB2312"/>
          <w:sz w:val="30"/>
          <w:szCs w:val="30"/>
        </w:rPr>
        <w:fldChar w:fldCharType="end"/>
      </w:r>
    </w:p>
    <w:p w14:paraId="45FD371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lang w:val="en-US" w:eastAsia="zh-CN"/>
        </w:rPr>
        <w:t>9</w:t>
      </w:r>
      <w:r>
        <w:rPr>
          <w:rFonts w:hint="eastAsia" w:ascii="Times New Roman" w:hAnsi="Times New Roman" w:eastAsia="仿宋_GB2312"/>
          <w:sz w:val="30"/>
          <w:szCs w:val="30"/>
        </w:rPr>
        <w:fldChar w:fldCharType="end"/>
      </w:r>
    </w:p>
    <w:p w14:paraId="3A593BCA">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第四部分  名词解释</w:t>
      </w:r>
      <w:r>
        <w:fldChar w:fldCharType="begin"/>
      </w:r>
      <w:r>
        <w:instrText xml:space="preserve"> HYPERLINK \l "_Toc26464" </w:instrText>
      </w:r>
      <w:r>
        <w:fldChar w:fldCharType="separate"/>
      </w:r>
      <w:r>
        <w:rPr>
          <w:rFonts w:ascii="Times New Roman" w:hAnsi="Times New Roman" w:eastAsia="仿宋_GB2312"/>
          <w:sz w:val="30"/>
          <w:szCs w:val="30"/>
        </w:rPr>
        <w:tab/>
      </w:r>
      <w:r>
        <w:rPr>
          <w:rFonts w:hint="eastAsia" w:ascii="Times New Roman" w:hAnsi="Times New Roman" w:eastAsia="仿宋_GB2312"/>
          <w:sz w:val="30"/>
          <w:szCs w:val="30"/>
        </w:rPr>
        <w:t>1</w:t>
      </w:r>
      <w:r>
        <w:rPr>
          <w:rFonts w:hint="eastAsia" w:ascii="Times New Roman" w:hAnsi="Times New Roman" w:eastAsia="仿宋_GB2312"/>
          <w:sz w:val="30"/>
          <w:szCs w:val="30"/>
          <w:lang w:val="en-US" w:eastAsia="zh-CN"/>
        </w:rPr>
        <w:t>0</w:t>
      </w:r>
      <w:r>
        <w:rPr>
          <w:rFonts w:hint="eastAsia" w:ascii="Times New Roman" w:hAnsi="Times New Roman" w:eastAsia="仿宋_GB2312"/>
          <w:sz w:val="30"/>
          <w:szCs w:val="30"/>
        </w:rPr>
        <w:fldChar w:fldCharType="end"/>
      </w:r>
    </w:p>
    <w:p w14:paraId="50B46D05">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sectPr>
          <w:pgSz w:w="12240" w:h="15840"/>
          <w:pgMar w:top="1440" w:right="1800" w:bottom="1440" w:left="1800" w:header="720" w:footer="720" w:gutter="0"/>
          <w:cols w:space="720" w:num="1"/>
        </w:sectPr>
      </w:pPr>
      <w:r>
        <w:rPr>
          <w:rFonts w:ascii="Times New Roman" w:hAnsi="Times New Roman" w:eastAsia="仿宋_GB2312"/>
          <w:sz w:val="30"/>
          <w:szCs w:val="30"/>
        </w:rPr>
        <w:fldChar w:fldCharType="begin"/>
      </w:r>
      <w:r>
        <w:rPr>
          <w:rFonts w:ascii="Times New Roman" w:hAnsi="Times New Roman" w:eastAsia="仿宋_GB2312"/>
          <w:sz w:val="30"/>
          <w:szCs w:val="30"/>
        </w:rPr>
        <w:instrText xml:space="preserve"> HYPERLINK \l _Toc26464 </w:instrText>
      </w:r>
      <w:r>
        <w:rPr>
          <w:rFonts w:ascii="Times New Roman" w:hAnsi="Times New Roman" w:eastAsia="仿宋_GB2312"/>
          <w:sz w:val="30"/>
          <w:szCs w:val="30"/>
        </w:rPr>
        <w:fldChar w:fldCharType="separate"/>
      </w:r>
      <w:r>
        <w:rPr>
          <w:rFonts w:ascii="Times New Roman" w:hAnsi="Times New Roman" w:eastAsia="仿宋_GB2312"/>
          <w:sz w:val="30"/>
          <w:szCs w:val="30"/>
        </w:rPr>
        <w:tab/>
      </w:r>
      <w:r>
        <w:rPr>
          <w:rFonts w:ascii="Times New Roman" w:hAnsi="Times New Roman" w:eastAsia="仿宋_GB2312"/>
          <w:sz w:val="30"/>
          <w:szCs w:val="30"/>
        </w:rPr>
        <w:fldChar w:fldCharType="end"/>
      </w:r>
    </w:p>
    <w:p w14:paraId="7A4D6772">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1E1506C9">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767144CE">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51C2F69D">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天津市交通（集团）有限公司（本级）为天津市交通（集团）有限公司总部，目前享受改制前离退休人员财政拨款。</w:t>
      </w:r>
    </w:p>
    <w:p w14:paraId="378FE5DC">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2FA85AD0">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天津市交通（集团）有限公司（本级）内设17个职能处室；下辖0个预算单位。纳入天津市交通（集团）有限公司（本级）2023年度部门决算编制范围的单位包括：</w:t>
      </w:r>
    </w:p>
    <w:p w14:paraId="0F0004C2">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1.天津市交通（集团）有限公司（本级）</w:t>
      </w:r>
    </w:p>
    <w:p w14:paraId="0BBC90DA">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1535D69A">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62CAE3EA">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1E06ECD9">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3B8601F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7FA2B25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53D9FC0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2E6F112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551C1C4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5DB0754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27CB506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75C1077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1CE99738">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058E945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05511649">
      <w:pPr>
        <w:autoSpaceDE w:val="0"/>
        <w:autoSpaceDN w:val="0"/>
        <w:adjustRightInd w:val="0"/>
        <w:spacing w:line="600" w:lineRule="exact"/>
        <w:jc w:val="left"/>
        <w:rPr>
          <w:rFonts w:ascii="Times New Roman" w:hAnsi="Times New Roman" w:eastAsia="黑体" w:cs="黑体"/>
          <w:b/>
          <w:bCs/>
          <w:kern w:val="0"/>
          <w:sz w:val="30"/>
          <w:szCs w:val="30"/>
        </w:rPr>
      </w:pPr>
      <w:r>
        <w:rPr>
          <w:rFonts w:hint="eastAsia" w:ascii="Times New Roman" w:hAnsi="Times New Roman" w:eastAsia="楷体" w:cs="楷体"/>
          <w:kern w:val="0"/>
          <w:sz w:val="30"/>
          <w:szCs w:val="30"/>
          <w:lang w:val="en-US" w:eastAsia="zh-CN"/>
        </w:rPr>
        <w:t xml:space="preserve"> </w:t>
      </w: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5A79329B">
      <w:pPr>
        <w:keepNext/>
        <w:keepLines/>
        <w:autoSpaceDE w:val="0"/>
        <w:autoSpaceDN w:val="0"/>
        <w:adjustRightInd w:val="0"/>
        <w:spacing w:line="600" w:lineRule="exact"/>
        <w:jc w:val="left"/>
        <w:outlineLvl w:val="1"/>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1.天津市交通（集团）有限公司（本级）2023年度政府性基金预算财政拨款收入支出决算表为空表。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2.天津市交通（集团）有限公司（本级）2023年度国有资本经营预算财政拨款收入支出决算表为空表。</w:t>
      </w:r>
      <w:r>
        <w:rPr>
          <w:rFonts w:hint="eastAsia" w:ascii="Times New Roman" w:hAnsi="Times New Roman" w:eastAsia="仿宋_GB2312" w:cs="仿宋_GB2312"/>
          <w:kern w:val="0"/>
          <w:sz w:val="30"/>
          <w:szCs w:val="30"/>
        </w:rPr>
        <w:br w:type="textWrapping"/>
      </w:r>
      <w:r>
        <w:rPr>
          <w:rFonts w:hint="eastAsia" w:ascii="Times New Roman" w:hAnsi="Times New Roman" w:eastAsia="仿宋_GB2312" w:cs="仿宋_GB2312"/>
          <w:kern w:val="0"/>
          <w:sz w:val="30"/>
          <w:szCs w:val="30"/>
        </w:rPr>
        <w:t>3.天津市交通（集团）有限公司（本级）2023年度财政拨款“三公”经费支出决算表为空表。</w:t>
      </w:r>
    </w:p>
    <w:p w14:paraId="0AA0CCB3">
      <w:pPr>
        <w:widowControl/>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br w:type="page"/>
      </w:r>
    </w:p>
    <w:p w14:paraId="43C73DB3">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p>
    <w:p w14:paraId="06BE8285">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70D4DE9D">
      <w:pPr>
        <w:autoSpaceDE w:val="0"/>
        <w:autoSpaceDN w:val="0"/>
        <w:adjustRightInd w:val="0"/>
        <w:spacing w:line="580" w:lineRule="exact"/>
        <w:ind w:firstLine="600"/>
        <w:jc w:val="left"/>
        <w:rPr>
          <w:rFonts w:ascii="Times New Roman" w:hAnsi="Times New Roman" w:eastAsia="黑体" w:cs="黑体"/>
          <w:sz w:val="30"/>
          <w:szCs w:val="30"/>
          <w:lang w:val="zh-CN"/>
        </w:rPr>
      </w:pPr>
    </w:p>
    <w:p w14:paraId="27BD15F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13CD1544">
      <w:pPr>
        <w:keepNext/>
        <w:keepLines/>
        <w:autoSpaceDE w:val="0"/>
        <w:autoSpaceDN w:val="0"/>
        <w:adjustRightInd w:val="0"/>
        <w:spacing w:line="600" w:lineRule="exact"/>
        <w:ind w:firstLine="600"/>
        <w:jc w:val="left"/>
        <w:outlineLvl w:val="1"/>
        <w:rPr>
          <w:rFonts w:ascii="Times New Roman" w:hAnsi="Times New Roman" w:eastAsia="仿宋_GB2312" w:cs="仿宋_GB2312"/>
          <w:kern w:val="0"/>
          <w:sz w:val="30"/>
          <w:szCs w:val="30"/>
        </w:rPr>
      </w:pPr>
      <w:r>
        <w:rPr>
          <w:rFonts w:hint="eastAsia" w:ascii="Times New Roman" w:hAnsi="Times New Roman" w:eastAsia="仿宋" w:cs="仿宋"/>
          <w:kern w:val="0"/>
          <w:sz w:val="30"/>
          <w:szCs w:val="30"/>
          <w:lang w:val="zh-CN"/>
        </w:rPr>
        <w:t>天津市交通（集团）有限公司（本级）</w:t>
      </w:r>
      <w:r>
        <w:rPr>
          <w:rFonts w:hint="eastAsia" w:ascii="Times New Roman" w:hAnsi="Times New Roman" w:eastAsia="仿宋" w:cs="Times New Roman"/>
          <w:kern w:val="0"/>
          <w:sz w:val="30"/>
          <w:szCs w:val="30"/>
          <w:lang w:val="zh-CN"/>
        </w:rPr>
        <w:t>2023</w:t>
      </w:r>
      <w:r>
        <w:rPr>
          <w:rFonts w:hint="eastAsia" w:ascii="Times New Roman" w:hAnsi="Times New Roman" w:eastAsia="仿宋_GB2312" w:cs="仿宋_GB2312"/>
          <w:kern w:val="0"/>
          <w:sz w:val="30"/>
          <w:szCs w:val="30"/>
          <w:lang w:val="zh-CN"/>
        </w:rPr>
        <w:t>年度收入、支出决算总计</w:t>
      </w:r>
      <w:r>
        <w:rPr>
          <w:rFonts w:hint="eastAsia" w:ascii="Times New Roman" w:hAnsi="Times New Roman" w:eastAsia="华文中宋"/>
          <w:sz w:val="30"/>
          <w:szCs w:val="30"/>
        </w:rPr>
        <w:t>3,446,700.98</w:t>
      </w:r>
      <w:r>
        <w:rPr>
          <w:rFonts w:hint="eastAsia" w:ascii="Times New Roman" w:hAnsi="Times New Roman" w:eastAsia="仿宋_GB2312" w:cs="仿宋_GB2312"/>
          <w:kern w:val="0"/>
          <w:sz w:val="30"/>
          <w:szCs w:val="30"/>
        </w:rPr>
        <w:t>元，与</w:t>
      </w:r>
      <w:r>
        <w:rPr>
          <w:rFonts w:hint="eastAsia" w:ascii="Times New Roman" w:hAnsi="Times New Roman" w:eastAsia="仿宋_GB2312" w:cs="Times New Roman"/>
          <w:kern w:val="0"/>
          <w:sz w:val="30"/>
          <w:szCs w:val="30"/>
        </w:rPr>
        <w:t>2022</w:t>
      </w:r>
      <w:r>
        <w:rPr>
          <w:rFonts w:hint="eastAsia" w:ascii="Times New Roman" w:hAnsi="Times New Roman" w:eastAsia="仿宋_GB2312" w:cs="仿宋_GB2312"/>
          <w:kern w:val="0"/>
          <w:sz w:val="30"/>
          <w:szCs w:val="30"/>
        </w:rPr>
        <w:t>年度相比，收、支总计各</w:t>
      </w:r>
      <w:r>
        <w:rPr>
          <w:rFonts w:hint="eastAsia" w:ascii="Times New Roman" w:hAnsi="Times New Roman" w:eastAsia="仿宋_GB2312" w:cs="仿宋_GB2312"/>
          <w:sz w:val="30"/>
          <w:szCs w:val="30"/>
        </w:rPr>
        <w:t>减少</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rPr>
        <w:t>1,792,674.91</w:t>
      </w:r>
      <w:r>
        <w:rPr>
          <w:rFonts w:hint="eastAsia" w:ascii="Times New Roman" w:hAnsi="Times New Roman" w:eastAsia="仿宋_GB2312" w:cs="仿宋_GB2312"/>
          <w:kern w:val="0"/>
          <w:sz w:val="30"/>
          <w:szCs w:val="30"/>
        </w:rPr>
        <w:t>元</w:t>
      </w:r>
      <w:r>
        <w:rPr>
          <w:rFonts w:hint="eastAsia" w:ascii="Times New Roman" w:hAnsi="Times New Roman" w:eastAsia="仿宋_GB2312" w:cs="仿宋_GB2312"/>
          <w:sz w:val="30"/>
          <w:szCs w:val="30"/>
        </w:rPr>
        <w:t>，下降34.22</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：因老干部去世造成财政拨款人员减少，财政拨款减少，支出减少。</w:t>
      </w:r>
    </w:p>
    <w:p w14:paraId="19C391E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19E332C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天津市交通（集团）有限公司（本级）</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3,446,700.98</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年度相比减少1,792,674.91元，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：因老干部去世造成财政拨款人员减少，财政拨款减少。</w:t>
      </w:r>
    </w:p>
    <w:p w14:paraId="196D7D44">
      <w:pPr>
        <w:autoSpaceDE w:val="0"/>
        <w:autoSpaceDN w:val="0"/>
        <w:adjustRightInd w:val="0"/>
        <w:spacing w:line="600" w:lineRule="exact"/>
        <w:ind w:firstLine="600"/>
        <w:jc w:val="left"/>
        <w:rPr>
          <w:rFonts w:hint="eastAsia" w:ascii="Times New Roman" w:hAnsi="Times New Roman" w:eastAsia="宋体" w:cs="Times New Roman"/>
          <w:sz w:val="30"/>
          <w:szCs w:val="30"/>
          <w:lang w:eastAsia="zh-CN"/>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3,446,700.98</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100.0</w:t>
      </w:r>
      <w:r>
        <w:rPr>
          <w:rFonts w:hint="eastAsia" w:ascii="Times New Roman" w:hAnsi="Times New Roman" w:eastAsia="宋体" w:cs="Times New Roman"/>
          <w:sz w:val="30"/>
          <w:szCs w:val="30"/>
        </w:rPr>
        <w:t>%</w:t>
      </w:r>
      <w:r>
        <w:rPr>
          <w:rFonts w:hint="eastAsia" w:ascii="Times New Roman" w:hAnsi="Times New Roman" w:eastAsia="宋体" w:cs="Times New Roman"/>
          <w:sz w:val="30"/>
          <w:szCs w:val="30"/>
          <w:lang w:eastAsia="zh-CN"/>
        </w:rPr>
        <w:t>。</w:t>
      </w:r>
    </w:p>
    <w:p w14:paraId="5B3A4A1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1CFC985F">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天津市交通（集团）有限公司（本级）</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年度本年支出合计3,446,700.98元，与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年度相比减少1,792,674.91元，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因老干部去世造成财政拨款人员减少，财政拨款减少，支出减少。</w:t>
      </w:r>
    </w:p>
    <w:p w14:paraId="15246D34">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2,592,893.98元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占75.23%；</w:t>
      </w:r>
    </w:p>
    <w:p w14:paraId="38499A46">
      <w:pPr>
        <w:autoSpaceDE w:val="0"/>
        <w:autoSpaceDN w:val="0"/>
        <w:adjustRightInd w:val="0"/>
        <w:spacing w:line="580" w:lineRule="exact"/>
        <w:ind w:firstLine="600"/>
        <w:jc w:val="left"/>
        <w:rPr>
          <w:rFonts w:hint="eastAsia" w:ascii="Times New Roman" w:hAnsi="Times New Roman" w:eastAsia="仿宋_GB2312" w:cs="仿宋_GB2312"/>
          <w:sz w:val="30"/>
          <w:szCs w:val="30"/>
          <w:lang w:eastAsia="zh-CN"/>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853,807.00元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占24.77%</w:t>
      </w:r>
      <w:r>
        <w:rPr>
          <w:rFonts w:hint="eastAsia" w:ascii="Times New Roman" w:hAnsi="Times New Roman" w:eastAsia="仿宋_GB2312" w:cs="仿宋_GB2312"/>
          <w:sz w:val="30"/>
          <w:szCs w:val="30"/>
          <w:lang w:eastAsia="zh-CN"/>
        </w:rPr>
        <w:t>。</w:t>
      </w:r>
    </w:p>
    <w:p w14:paraId="6C62A1A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2F69C7E4">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天津市交通（集团）有限公司（本级）</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3,446,700.98</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年度相比，财政拨款收、支总计各减少1,792,674.91元，下降34.22</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因老干部去世造成财政拨款人员减少，财政拨款减少，支出减少。</w:t>
      </w:r>
    </w:p>
    <w:p w14:paraId="1463A1D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3FECD171">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328BB8BF">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天津市交通（集团）有限公司（本级）2023年度部门决算一般公共预算财政拨款支出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计3,446,700.98元，占本年支出合计的100.0%，与2022年度相比，一般公共预算财政拨款支出减少1,792,674.91元，下降34.22%，</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：因老干部去世造成财政拨款人员减少，财政拨款减少，支出减少。</w:t>
      </w:r>
    </w:p>
    <w:p w14:paraId="17FEC03C">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02E56BFD">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3,446,700.98</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社会保障和就业支出（类）支出1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432</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700.98元，占41.57%；卫生健康支出（类）支出2</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014</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000元，占58.43%。</w:t>
      </w:r>
    </w:p>
    <w:p w14:paraId="29D07216">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44D4CED8">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814,000.00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3,446,700.98</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423.43%</w:t>
      </w:r>
      <w:r>
        <w:rPr>
          <w:rFonts w:hint="eastAsia" w:ascii="Times New Roman" w:hAnsi="Times New Roman" w:eastAsia="仿宋_GB2312" w:cs="仿宋_GB2312"/>
          <w:kern w:val="0"/>
          <w:sz w:val="30"/>
          <w:szCs w:val="30"/>
        </w:rPr>
        <w:t>。其中：</w:t>
      </w:r>
    </w:p>
    <w:p w14:paraId="118B4F74">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1.社会保障和就业支出（类）行政事业单位养老支出（款）  行政单位离退休（项）年初预算为774</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000元，支出决算为1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432</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700.98元，完成年初预算的185.1%，决算数大于年初预算数的主要原因是年中追加项目经费，为离退休人员死亡抚恤金。2.卫生健康支出（类）行政事业单位医疗（款）行政单位医疗（项）年初预算为40</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000元，支出决算为 43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000元，完成年初预算的107.5%，决算数大于年初预算数的主要原因是年中追加离休干部医疗经费。3.卫生健康支出（类）行政事业单位医疗（款）事业单位医疗（项）年初预算为0元，支出决算为1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971</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000元，完成年初预算的/%，决算数大于年初预算数的主要原因是年中追加离休干部医疗经费。</w:t>
      </w:r>
    </w:p>
    <w:p w14:paraId="5AF3706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6A897DB9">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天津市交通（集团）有限公司（本级）</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2,592,893.98</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年度相比减少2,646,481.91元，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2023度抚恤金从基本支出转为项目支出，同时人员减少造成基本支出减少。</w:t>
      </w:r>
      <w:r>
        <w:rPr>
          <w:rFonts w:hint="eastAsia" w:ascii="Times New Roman" w:hAnsi="Times New Roman" w:eastAsia="仿宋_GB2312" w:cs="仿宋_GB2312"/>
          <w:kern w:val="0"/>
          <w:sz w:val="30"/>
          <w:szCs w:val="30"/>
        </w:rPr>
        <w:t>其中：</w:t>
      </w:r>
    </w:p>
    <w:p w14:paraId="12F04A54">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2,582,682.78</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离休费、退休费、退职（役）费、抚恤金、生活补助、医疗费补助。</w:t>
      </w:r>
    </w:p>
    <w:p w14:paraId="47B0473C">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10,211.20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其他商品和服务支出。</w:t>
      </w:r>
    </w:p>
    <w:p w14:paraId="3D9F94C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0F9D7E3D">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天津市交通（集团）有限公司（本级）2023年度无政府性基金预算财政拨款收入、支出和结转结余。</w:t>
      </w:r>
      <w:r>
        <w:rPr>
          <w:rFonts w:hint="eastAsia" w:ascii="Times New Roman" w:hAnsi="Times New Roman" w:eastAsia="仿宋_GB2312" w:cs="仿宋_GB2312"/>
          <w:sz w:val="30"/>
          <w:szCs w:val="30"/>
        </w:rPr>
        <w:tab/>
      </w:r>
    </w:p>
    <w:p w14:paraId="07B4A0B9">
      <w:pPr>
        <w:numPr>
          <w:ilvl w:val="0"/>
          <w:numId w:val="1"/>
        </w:numPr>
        <w:autoSpaceDE w:val="0"/>
        <w:autoSpaceDN w:val="0"/>
        <w:adjustRightInd w:val="0"/>
        <w:spacing w:line="600" w:lineRule="exact"/>
        <w:ind w:firstLine="600"/>
        <w:jc w:val="left"/>
        <w:rPr>
          <w:rFonts w:hint="eastAsia" w:ascii="Times New Roman" w:hAnsi="Times New Roman" w:eastAsia="黑体" w:cs="黑体"/>
          <w:b/>
          <w:bCs/>
          <w:kern w:val="0"/>
          <w:sz w:val="30"/>
          <w:szCs w:val="30"/>
        </w:rPr>
      </w:pPr>
      <w:r>
        <w:rPr>
          <w:rFonts w:hint="eastAsia" w:ascii="Times New Roman" w:hAnsi="Times New Roman" w:eastAsia="黑体" w:cs="黑体"/>
          <w:b/>
          <w:bCs/>
          <w:kern w:val="0"/>
          <w:sz w:val="30"/>
          <w:szCs w:val="30"/>
        </w:rPr>
        <w:t>国有资本经营预算财政拨款收支决算情况说明</w:t>
      </w:r>
    </w:p>
    <w:p w14:paraId="021CC647">
      <w:pPr>
        <w:numPr>
          <w:ilvl w:val="0"/>
          <w:numId w:val="0"/>
        </w:numPr>
        <w:autoSpaceDE w:val="0"/>
        <w:autoSpaceDN w:val="0"/>
        <w:adjustRightInd w:val="0"/>
        <w:spacing w:line="600" w:lineRule="exact"/>
        <w:ind w:firstLine="600" w:firstLineChars="2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天津市交通（集团）有限公司（本级）2023年度无国有资本经营预算财政拨款收入、支出和结转结余。</w:t>
      </w:r>
    </w:p>
    <w:p w14:paraId="4236C16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highlight w:val="none"/>
        </w:rPr>
      </w:pPr>
      <w:r>
        <w:rPr>
          <w:rFonts w:hint="eastAsia" w:ascii="Times New Roman" w:hAnsi="Times New Roman" w:eastAsia="黑体" w:cs="黑体"/>
          <w:b/>
          <w:bCs/>
          <w:kern w:val="0"/>
          <w:sz w:val="30"/>
          <w:szCs w:val="30"/>
          <w:highlight w:val="none"/>
        </w:rPr>
        <w:t>九、财政拨款</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三公</w:t>
      </w:r>
      <w:r>
        <w:rPr>
          <w:rFonts w:ascii="Times New Roman" w:hAnsi="Times New Roman" w:eastAsia="黑体" w:cs="黑体"/>
          <w:b/>
          <w:bCs/>
          <w:kern w:val="0"/>
          <w:sz w:val="30"/>
          <w:szCs w:val="30"/>
          <w:highlight w:val="none"/>
        </w:rPr>
        <w:t>”</w:t>
      </w:r>
      <w:r>
        <w:rPr>
          <w:rFonts w:hint="eastAsia" w:ascii="Times New Roman" w:hAnsi="Times New Roman" w:eastAsia="黑体" w:cs="黑体"/>
          <w:b/>
          <w:bCs/>
          <w:kern w:val="0"/>
          <w:sz w:val="30"/>
          <w:szCs w:val="30"/>
          <w:highlight w:val="none"/>
        </w:rPr>
        <w:t>经费</w:t>
      </w:r>
      <w:r>
        <w:rPr>
          <w:rFonts w:hint="eastAsia" w:ascii="Times New Roman" w:hAnsi="Times New Roman" w:eastAsia="黑体" w:cs="黑体"/>
          <w:b/>
          <w:bCs/>
          <w:kern w:val="0"/>
          <w:sz w:val="30"/>
          <w:szCs w:val="30"/>
          <w:highlight w:val="none"/>
          <w:lang w:val="zh-CN"/>
        </w:rPr>
        <w:t>支出决算</w:t>
      </w:r>
      <w:r>
        <w:rPr>
          <w:rFonts w:hint="eastAsia" w:ascii="Times New Roman" w:hAnsi="Times New Roman" w:eastAsia="黑体" w:cs="黑体"/>
          <w:b/>
          <w:bCs/>
          <w:kern w:val="0"/>
          <w:sz w:val="30"/>
          <w:szCs w:val="30"/>
          <w:highlight w:val="none"/>
        </w:rPr>
        <w:t>情况</w:t>
      </w:r>
    </w:p>
    <w:p w14:paraId="67A60B2B">
      <w:pPr>
        <w:autoSpaceDE w:val="0"/>
        <w:autoSpaceDN w:val="0"/>
        <w:adjustRightInd w:val="0"/>
        <w:spacing w:line="600" w:lineRule="exact"/>
        <w:ind w:firstLine="602"/>
        <w:jc w:val="left"/>
        <w:rPr>
          <w:rFonts w:hint="default" w:ascii="Times New Roman" w:hAnsi="Times New Roman" w:eastAsia="楷体" w:cs="楷体"/>
          <w:b/>
          <w:bCs/>
          <w:kern w:val="0"/>
          <w:sz w:val="30"/>
          <w:szCs w:val="30"/>
          <w:highlight w:val="none"/>
          <w:lang w:val="en-US" w:eastAsia="zh-CN"/>
        </w:rPr>
      </w:pPr>
      <w:r>
        <w:rPr>
          <w:rFonts w:hint="eastAsia" w:ascii="Times New Roman" w:hAnsi="Times New Roman" w:eastAsia="楷体" w:cs="楷体"/>
          <w:b/>
          <w:bCs/>
          <w:kern w:val="0"/>
          <w:sz w:val="30"/>
          <w:szCs w:val="30"/>
          <w:highlight w:val="none"/>
        </w:rPr>
        <w:t>（一）总体情况</w:t>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r>
        <w:rPr>
          <w:rFonts w:hint="eastAsia" w:ascii="Times New Roman" w:hAnsi="Times New Roman" w:eastAsia="楷体" w:cs="楷体"/>
          <w:b/>
          <w:bCs/>
          <w:kern w:val="0"/>
          <w:sz w:val="30"/>
          <w:szCs w:val="30"/>
          <w:highlight w:val="none"/>
          <w:lang w:val="en-US" w:eastAsia="zh-CN"/>
        </w:rPr>
        <w:tab/>
      </w:r>
    </w:p>
    <w:p w14:paraId="40E7FC12">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年财政拨款</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三公</w:t>
      </w:r>
      <w:r>
        <w:rPr>
          <w:rFonts w:ascii="Times New Roman" w:hAnsi="Times New Roman" w:eastAsia="仿宋_GB2312" w:cs="仿宋_GB2312"/>
          <w:kern w:val="0"/>
          <w:sz w:val="30"/>
          <w:szCs w:val="30"/>
          <w:highlight w:val="none"/>
        </w:rPr>
        <w:t>”</w:t>
      </w:r>
      <w:r>
        <w:rPr>
          <w:rFonts w:hint="eastAsia" w:ascii="Times New Roman" w:hAnsi="Times New Roman" w:eastAsia="仿宋_GB2312" w:cs="仿宋_GB2312"/>
          <w:kern w:val="0"/>
          <w:sz w:val="30"/>
          <w:szCs w:val="30"/>
          <w:highlight w:val="none"/>
        </w:rPr>
        <w:t>经费预算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本年度未用财政拨款经费列支“三公”经费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本年度与上年度未用财政拨款经费列支“三公”经费。</w:t>
      </w:r>
    </w:p>
    <w:p w14:paraId="330E4F33">
      <w:pPr>
        <w:autoSpaceDE w:val="0"/>
        <w:autoSpaceDN w:val="0"/>
        <w:adjustRightInd w:val="0"/>
        <w:spacing w:line="600" w:lineRule="exact"/>
        <w:ind w:firstLine="602"/>
        <w:jc w:val="left"/>
        <w:rPr>
          <w:rFonts w:ascii="Times New Roman" w:hAnsi="Times New Roman" w:eastAsia="楷体" w:cs="楷体"/>
          <w:b/>
          <w:bCs/>
          <w:kern w:val="0"/>
          <w:sz w:val="30"/>
          <w:szCs w:val="30"/>
          <w:highlight w:val="none"/>
        </w:rPr>
      </w:pPr>
      <w:r>
        <w:rPr>
          <w:rFonts w:hint="eastAsia" w:ascii="Times New Roman" w:hAnsi="Times New Roman" w:eastAsia="楷体" w:cs="楷体"/>
          <w:b/>
          <w:bCs/>
          <w:kern w:val="0"/>
          <w:sz w:val="30"/>
          <w:szCs w:val="30"/>
          <w:highlight w:val="none"/>
        </w:rPr>
        <w:t>（二）具体情况</w:t>
      </w:r>
    </w:p>
    <w:p w14:paraId="616B585F">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1.</w:t>
      </w:r>
      <w:r>
        <w:rPr>
          <w:rFonts w:hint="eastAsia" w:ascii="Times New Roman" w:hAnsi="Times New Roman" w:eastAsia="仿宋_GB2312" w:cs="仿宋_GB2312"/>
          <w:kern w:val="0"/>
          <w:sz w:val="30"/>
          <w:szCs w:val="30"/>
          <w:highlight w:val="none"/>
        </w:rPr>
        <w:t>因公出国（境）费预算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本年度未用财政拨款经费列支因公出国（境）费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本年度与上年度均未用财政拨款经费列支因公出国（境）费。</w:t>
      </w:r>
    </w:p>
    <w:p w14:paraId="6393778B">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年本单位组织的出国团组</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个，出国</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08E3F110">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ascii="Times New Roman" w:hAnsi="Times New Roman" w:eastAsia="仿宋_GB2312" w:cs="仿宋_GB2312"/>
          <w:kern w:val="0"/>
          <w:sz w:val="30"/>
          <w:szCs w:val="30"/>
          <w:highlight w:val="none"/>
        </w:rPr>
        <w:t>2.</w:t>
      </w:r>
      <w:r>
        <w:rPr>
          <w:rFonts w:hint="eastAsia" w:ascii="Times New Roman" w:hAnsi="Times New Roman" w:eastAsia="仿宋_GB2312" w:cs="仿宋_GB2312"/>
          <w:kern w:val="0"/>
          <w:sz w:val="30"/>
          <w:szCs w:val="30"/>
          <w:highlight w:val="none"/>
        </w:rPr>
        <w:t>公务用车购置及运行维护费预算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本年度未用财政拨款经费列支公务用车购置及运行维护费</w:t>
      </w:r>
      <w:r>
        <w:rPr>
          <w:rFonts w:hint="eastAsia" w:ascii="Times New Roman" w:hAnsi="Times New Roman" w:eastAsia="仿宋_GB2312" w:cs="仿宋_GB2312"/>
          <w:kern w:val="0"/>
          <w:sz w:val="30"/>
          <w:szCs w:val="30"/>
          <w:highlight w:val="none"/>
          <w:lang w:eastAsia="zh-CN"/>
        </w:rPr>
        <w:t>；</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本年度与上年度均未用财政拨款经费列支公务用车购置及运行维护费。</w:t>
      </w:r>
      <w:r>
        <w:rPr>
          <w:rFonts w:hint="eastAsia" w:ascii="Times New Roman" w:hAnsi="Times New Roman" w:eastAsia="仿宋_GB2312" w:cs="仿宋_GB2312"/>
          <w:kern w:val="0"/>
          <w:sz w:val="30"/>
          <w:szCs w:val="30"/>
          <w:highlight w:val="none"/>
        </w:rPr>
        <w:t>其中：</w:t>
      </w:r>
    </w:p>
    <w:p w14:paraId="69E5B63E">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公务用车运行维护费预算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本年度未用财政拨款经费列支公务用车运行维护费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本年度与上年度均未用财政拨款经费列支公务用车运行维护费。</w:t>
      </w:r>
    </w:p>
    <w:p w14:paraId="10573118">
      <w:pPr>
        <w:autoSpaceDE w:val="0"/>
        <w:autoSpaceDN w:val="0"/>
        <w:adjustRightInd w:val="0"/>
        <w:spacing w:line="600" w:lineRule="exact"/>
        <w:ind w:firstLine="600"/>
        <w:jc w:val="left"/>
        <w:rPr>
          <w:rFonts w:ascii="Times New Roman" w:hAnsi="Times New Roman" w:eastAsia="仿宋_GB2312" w:cs="Times New Roman"/>
          <w:kern w:val="0"/>
          <w:sz w:val="30"/>
          <w:szCs w:val="30"/>
          <w:highlight w:val="none"/>
        </w:rPr>
      </w:pPr>
      <w:r>
        <w:rPr>
          <w:rFonts w:hint="eastAsia" w:ascii="Times New Roman" w:hAnsi="Times New Roman" w:eastAsia="仿宋_GB2312" w:cs="仿宋_GB2312"/>
          <w:kern w:val="0"/>
          <w:sz w:val="30"/>
          <w:szCs w:val="30"/>
          <w:highlight w:val="none"/>
        </w:rPr>
        <w:t>截至</w:t>
      </w: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w:t>
      </w:r>
      <w:r>
        <w:rPr>
          <w:rFonts w:ascii="Times New Roman" w:hAnsi="Times New Roman" w:eastAsia="仿宋_GB2312" w:cs="仿宋_GB2312"/>
          <w:kern w:val="0"/>
          <w:sz w:val="30"/>
          <w:szCs w:val="30"/>
          <w:highlight w:val="none"/>
        </w:rPr>
        <w:t>12</w:t>
      </w:r>
      <w:r>
        <w:rPr>
          <w:rFonts w:hint="eastAsia" w:ascii="Times New Roman" w:hAnsi="Times New Roman" w:eastAsia="仿宋_GB2312" w:cs="仿宋_GB2312"/>
          <w:kern w:val="0"/>
          <w:sz w:val="30"/>
          <w:szCs w:val="30"/>
          <w:highlight w:val="none"/>
        </w:rPr>
        <w:t>月</w:t>
      </w:r>
      <w:r>
        <w:rPr>
          <w:rFonts w:ascii="Times New Roman" w:hAnsi="Times New Roman" w:eastAsia="仿宋_GB2312" w:cs="仿宋_GB2312"/>
          <w:kern w:val="0"/>
          <w:sz w:val="30"/>
          <w:szCs w:val="30"/>
          <w:highlight w:val="none"/>
        </w:rPr>
        <w:t>31</w:t>
      </w:r>
      <w:r>
        <w:rPr>
          <w:rFonts w:hint="eastAsia" w:ascii="Times New Roman" w:hAnsi="Times New Roman" w:eastAsia="仿宋_GB2312" w:cs="仿宋_GB2312"/>
          <w:kern w:val="0"/>
          <w:sz w:val="30"/>
          <w:szCs w:val="30"/>
          <w:highlight w:val="none"/>
        </w:rPr>
        <w:t>日，使用财政拨款开支运行维护费的公务用车保有量为</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277D9306">
      <w:pPr>
        <w:autoSpaceDE w:val="0"/>
        <w:autoSpaceDN w:val="0"/>
        <w:adjustRightInd w:val="0"/>
        <w:spacing w:line="600" w:lineRule="exact"/>
        <w:ind w:firstLine="600"/>
        <w:jc w:val="left"/>
        <w:rPr>
          <w:rFonts w:hint="eastAsia" w:ascii="Times New Roman" w:hAnsi="Times New Roman" w:eastAsia="仿宋_GB2312" w:cs="仿宋_GB2312"/>
          <w:kern w:val="0"/>
          <w:sz w:val="30"/>
          <w:szCs w:val="30"/>
          <w:highlight w:val="none"/>
        </w:rPr>
      </w:pPr>
      <w:r>
        <w:rPr>
          <w:rFonts w:hint="eastAsia" w:ascii="Times New Roman" w:hAnsi="Times New Roman" w:eastAsia="仿宋_GB2312" w:cs="仿宋_GB2312"/>
          <w:kern w:val="0"/>
          <w:sz w:val="30"/>
          <w:szCs w:val="30"/>
          <w:highlight w:val="none"/>
        </w:rPr>
        <w:t>公务用车购置费预算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本年度未用财政拨款经费列支公务用车购置费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本年度与上年度均未用财政拨款经费列支公务用车购置费。</w:t>
      </w:r>
    </w:p>
    <w:p w14:paraId="27FFCC7E">
      <w:pPr>
        <w:autoSpaceDE w:val="0"/>
        <w:autoSpaceDN w:val="0"/>
        <w:adjustRightInd w:val="0"/>
        <w:spacing w:line="600" w:lineRule="exact"/>
        <w:ind w:firstLine="600"/>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年购置公务用车</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辆。</w:t>
      </w:r>
    </w:p>
    <w:p w14:paraId="40487F91">
      <w:pPr>
        <w:autoSpaceDE w:val="0"/>
        <w:autoSpaceDN w:val="0"/>
        <w:adjustRightInd w:val="0"/>
        <w:spacing w:line="600" w:lineRule="exact"/>
        <w:ind w:firstLine="645"/>
        <w:jc w:val="left"/>
        <w:rPr>
          <w:rFonts w:hint="eastAsia"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3.</w:t>
      </w:r>
      <w:r>
        <w:rPr>
          <w:rFonts w:hint="eastAsia" w:ascii="Times New Roman" w:hAnsi="Times New Roman" w:eastAsia="仿宋_GB2312" w:cs="仿宋_GB2312"/>
          <w:kern w:val="0"/>
          <w:sz w:val="30"/>
          <w:szCs w:val="30"/>
          <w:highlight w:val="none"/>
        </w:rPr>
        <w:t>公务接待费预算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元，支出决算</w:t>
      </w:r>
      <w:r>
        <w:rPr>
          <w:rFonts w:hint="eastAsia" w:ascii="Times New Roman" w:hAnsi="Times New Roman" w:eastAsia="仿宋_GB2312" w:cs="Times New Roman"/>
          <w:kern w:val="0"/>
          <w:sz w:val="30"/>
          <w:szCs w:val="30"/>
          <w:highlight w:val="none"/>
          <w:lang w:eastAsia="zh-CN"/>
        </w:rPr>
        <w:t>0.00</w:t>
      </w:r>
      <w:r>
        <w:rPr>
          <w:rFonts w:hint="eastAsia" w:ascii="Times New Roman" w:hAnsi="Times New Roman" w:eastAsia="仿宋_GB2312" w:cs="仿宋_GB2312"/>
          <w:kern w:val="0"/>
          <w:sz w:val="30"/>
          <w:szCs w:val="30"/>
          <w:highlight w:val="none"/>
        </w:rPr>
        <w:t>元，与预算</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；较上年</w:t>
      </w:r>
      <w:r>
        <w:rPr>
          <w:rFonts w:hint="eastAsia" w:ascii="Times New Roman" w:hAnsi="Times New Roman" w:eastAsia="仿宋_GB2312" w:cs="仿宋_GB2312"/>
          <w:sz w:val="30"/>
          <w:szCs w:val="30"/>
          <w:highlight w:val="none"/>
          <w:lang w:val="en-US" w:eastAsia="zh-CN"/>
        </w:rPr>
        <w:t>持平</w:t>
      </w:r>
      <w:r>
        <w:rPr>
          <w:rFonts w:hint="eastAsia" w:ascii="Times New Roman" w:hAnsi="Times New Roman" w:eastAsia="仿宋_GB2312" w:cs="仿宋_GB2312"/>
          <w:kern w:val="0"/>
          <w:sz w:val="30"/>
          <w:szCs w:val="30"/>
          <w:highlight w:val="none"/>
        </w:rPr>
        <w:t>。决算数</w:t>
      </w:r>
      <w:r>
        <w:rPr>
          <w:rFonts w:hint="eastAsia" w:ascii="Times New Roman" w:hAnsi="Times New Roman" w:eastAsia="仿宋_GB2312" w:cs="仿宋_GB2312"/>
          <w:sz w:val="30"/>
          <w:szCs w:val="30"/>
          <w:highlight w:val="none"/>
          <w:lang w:eastAsia="zh-CN"/>
        </w:rPr>
        <w:t>等于</w:t>
      </w:r>
      <w:r>
        <w:rPr>
          <w:rFonts w:hint="eastAsia" w:ascii="Times New Roman" w:hAnsi="Times New Roman" w:eastAsia="仿宋_GB2312" w:cs="仿宋_GB2312"/>
          <w:kern w:val="0"/>
          <w:sz w:val="30"/>
          <w:szCs w:val="30"/>
          <w:highlight w:val="none"/>
        </w:rPr>
        <w:t>预算数的主要原因是：</w:t>
      </w:r>
      <w:r>
        <w:rPr>
          <w:rFonts w:hint="eastAsia" w:ascii="Times New Roman" w:hAnsi="Times New Roman" w:eastAsia="仿宋_GB2312" w:cs="仿宋_GB2312"/>
          <w:sz w:val="30"/>
          <w:szCs w:val="30"/>
          <w:highlight w:val="none"/>
          <w:lang w:eastAsia="zh-CN"/>
        </w:rPr>
        <w:t>本年度未用财政拨款经费列支公务接待费</w:t>
      </w:r>
      <w:r>
        <w:rPr>
          <w:rFonts w:hint="eastAsia" w:ascii="Times New Roman" w:hAnsi="Times New Roman" w:eastAsia="仿宋_GB2312" w:cs="仿宋_GB2312"/>
          <w:kern w:val="0"/>
          <w:sz w:val="30"/>
          <w:szCs w:val="30"/>
          <w:highlight w:val="none"/>
        </w:rPr>
        <w:t>；决算数较上年</w:t>
      </w:r>
      <w:r>
        <w:rPr>
          <w:rFonts w:hint="eastAsia" w:ascii="Times New Roman" w:hAnsi="Times New Roman" w:eastAsia="仿宋_GB2312" w:cs="仿宋_GB2312"/>
          <w:sz w:val="30"/>
          <w:szCs w:val="30"/>
          <w:highlight w:val="none"/>
          <w:lang w:eastAsia="zh-CN"/>
        </w:rPr>
        <w:t>持平</w:t>
      </w:r>
      <w:r>
        <w:rPr>
          <w:rFonts w:hint="eastAsia" w:ascii="Times New Roman" w:hAnsi="Times New Roman" w:eastAsia="仿宋_GB2312" w:cs="仿宋_GB2312"/>
          <w:kern w:val="0"/>
          <w:sz w:val="30"/>
          <w:szCs w:val="30"/>
          <w:highlight w:val="none"/>
        </w:rPr>
        <w:t>的主要原因是：</w:t>
      </w:r>
      <w:r>
        <w:rPr>
          <w:rFonts w:hint="eastAsia" w:ascii="Times New Roman" w:hAnsi="Times New Roman" w:eastAsia="仿宋_GB2312" w:cs="仿宋_GB2312"/>
          <w:sz w:val="30"/>
          <w:szCs w:val="30"/>
          <w:highlight w:val="none"/>
          <w:lang w:eastAsia="zh-CN"/>
        </w:rPr>
        <w:t>本年度与上年度均未用财政拨款经费列支公务接待费。</w:t>
      </w:r>
    </w:p>
    <w:p w14:paraId="6F4F0C9B">
      <w:pPr>
        <w:autoSpaceDE w:val="0"/>
        <w:autoSpaceDN w:val="0"/>
        <w:adjustRightInd w:val="0"/>
        <w:spacing w:line="600" w:lineRule="exact"/>
        <w:ind w:firstLine="645"/>
        <w:jc w:val="left"/>
        <w:rPr>
          <w:rFonts w:ascii="Times New Roman" w:hAnsi="Times New Roman" w:eastAsia="仿宋_GB2312" w:cs="仿宋_GB2312"/>
          <w:kern w:val="0"/>
          <w:sz w:val="30"/>
          <w:szCs w:val="30"/>
          <w:highlight w:val="none"/>
        </w:rPr>
      </w:pPr>
      <w:r>
        <w:rPr>
          <w:rFonts w:ascii="Times New Roman" w:hAnsi="Times New Roman" w:eastAsia="仿宋_GB2312" w:cs="仿宋_GB2312"/>
          <w:kern w:val="0"/>
          <w:sz w:val="30"/>
          <w:szCs w:val="30"/>
          <w:highlight w:val="none"/>
        </w:rPr>
        <w:t>202</w:t>
      </w:r>
      <w:r>
        <w:rPr>
          <w:rFonts w:hint="eastAsia" w:ascii="Times New Roman" w:hAnsi="Times New Roman" w:eastAsia="仿宋_GB2312" w:cs="仿宋_GB2312"/>
          <w:kern w:val="0"/>
          <w:sz w:val="30"/>
          <w:szCs w:val="30"/>
          <w:highlight w:val="none"/>
          <w:lang w:val="en-US" w:eastAsia="zh-CN"/>
        </w:rPr>
        <w:t>3</w:t>
      </w:r>
      <w:r>
        <w:rPr>
          <w:rFonts w:hint="eastAsia" w:ascii="Times New Roman" w:hAnsi="Times New Roman" w:eastAsia="仿宋_GB2312" w:cs="仿宋_GB2312"/>
          <w:kern w:val="0"/>
          <w:sz w:val="30"/>
          <w:szCs w:val="30"/>
          <w:highlight w:val="none"/>
        </w:rPr>
        <w:t>年本单位国内公务接待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人次；其中，外事接待</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批次，</w:t>
      </w:r>
      <w:r>
        <w:rPr>
          <w:rFonts w:hint="eastAsia" w:ascii="Times New Roman" w:hAnsi="Times New Roman" w:eastAsia="仿宋_GB2312" w:cs="Times New Roman"/>
          <w:kern w:val="0"/>
          <w:sz w:val="30"/>
          <w:szCs w:val="30"/>
          <w:highlight w:val="none"/>
          <w:lang w:eastAsia="zh-CN"/>
        </w:rPr>
        <w:t>0</w:t>
      </w:r>
      <w:r>
        <w:rPr>
          <w:rFonts w:hint="eastAsia" w:ascii="Times New Roman" w:hAnsi="Times New Roman" w:eastAsia="仿宋_GB2312" w:cs="仿宋_GB2312"/>
          <w:kern w:val="0"/>
          <w:sz w:val="30"/>
          <w:szCs w:val="30"/>
          <w:highlight w:val="none"/>
        </w:rPr>
        <w:t>人次。</w:t>
      </w:r>
    </w:p>
    <w:p w14:paraId="583E9477">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0E39015F">
      <w:pPr>
        <w:keepNext/>
        <w:keepLines/>
        <w:autoSpaceDE w:val="0"/>
        <w:autoSpaceDN w:val="0"/>
        <w:adjustRightInd w:val="0"/>
        <w:spacing w:line="600" w:lineRule="exact"/>
        <w:ind w:firstLine="602"/>
        <w:jc w:val="left"/>
        <w:outlineLvl w:val="1"/>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天津市交通（集团）有限公司（本级）2023年度无机关运行经费。</w:t>
      </w:r>
    </w:p>
    <w:p w14:paraId="5F97B73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4906D4EA">
      <w:pPr>
        <w:autoSpaceDE w:val="0"/>
        <w:autoSpaceDN w:val="0"/>
        <w:adjustRightInd w:val="0"/>
        <w:spacing w:line="600" w:lineRule="exact"/>
        <w:ind w:firstLine="600"/>
        <w:jc w:val="left"/>
        <w:rPr>
          <w:rFonts w:ascii="Times New Roman" w:hAnsi="Times New Roman" w:eastAsia="楷体" w:cs="Times New Roman"/>
          <w:kern w:val="0"/>
          <w:sz w:val="30"/>
          <w:szCs w:val="30"/>
        </w:rPr>
      </w:pPr>
      <w:r>
        <w:rPr>
          <w:rFonts w:hint="eastAsia" w:ascii="Times New Roman" w:hAnsi="Times New Roman" w:eastAsia="仿宋_GB2312" w:cs="仿宋_GB2312"/>
          <w:sz w:val="30"/>
          <w:szCs w:val="30"/>
        </w:rPr>
        <w:t>天津市交通（集团）有限公司（本级）2023年度无政府采购支出。</w:t>
      </w:r>
    </w:p>
    <w:p w14:paraId="0DC2A79F">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478D2FE3">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天津市交通（集团）有限公司（本级）2023年度无国有资产占有使用情况。</w:t>
      </w:r>
    </w:p>
    <w:p w14:paraId="6371AE5F">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7FCAE41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天津市交通（集团）有限公司（本级）2023年度已对2个市级项目开展绩效自评，涉及金额853</w:t>
      </w:r>
      <w:r>
        <w:rPr>
          <w:rFonts w:hint="eastAsia" w:ascii="Times New Roman" w:hAnsi="Times New Roman" w:eastAsia="仿宋_GB2312" w:cs="仿宋_GB2312"/>
          <w:sz w:val="30"/>
          <w:szCs w:val="30"/>
          <w:lang w:val="en-US" w:eastAsia="zh-CN"/>
        </w:rPr>
        <w:t>,</w:t>
      </w:r>
      <w:r>
        <w:rPr>
          <w:rFonts w:hint="eastAsia" w:ascii="Times New Roman" w:hAnsi="Times New Roman" w:eastAsia="仿宋_GB2312" w:cs="仿宋_GB2312"/>
          <w:sz w:val="30"/>
          <w:szCs w:val="30"/>
        </w:rPr>
        <w:t>807元，自评结果已随部门决算一并公开。</w:t>
      </w:r>
    </w:p>
    <w:p w14:paraId="61A241EE">
      <w:pPr>
        <w:autoSpaceDE w:val="0"/>
        <w:autoSpaceDN w:val="0"/>
        <w:adjustRightInd w:val="0"/>
        <w:spacing w:line="600" w:lineRule="exact"/>
        <w:ind w:firstLine="600"/>
        <w:jc w:val="left"/>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672C1F1E">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天津市交通（集团）有限公司（本级）不属于乡、镇、街级单位，不涉及公开2023年度教育、医疗卫生、社会保障和就业、住房保障、涉农补贴等民生支出情况。</w:t>
      </w:r>
    </w:p>
    <w:p w14:paraId="5729E1FA">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14F728D2">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w:t>
      </w:r>
      <w:r>
        <w:rPr>
          <w:rFonts w:hint="eastAsia" w:ascii="Times New Roman" w:hAnsi="Times New Roman" w:eastAsia="方正小标宋简体" w:cs="方正小标宋简体"/>
          <w:kern w:val="44"/>
          <w:sz w:val="44"/>
          <w:szCs w:val="44"/>
          <w:lang w:val="en-US" w:eastAsia="zh-CN"/>
        </w:rPr>
        <w:t xml:space="preserve"> </w:t>
      </w:r>
      <w:r>
        <w:rPr>
          <w:rFonts w:hint="eastAsia" w:ascii="Times New Roman" w:hAnsi="Times New Roman" w:eastAsia="方正小标宋简体" w:cs="方正小标宋简体"/>
          <w:kern w:val="44"/>
          <w:sz w:val="44"/>
          <w:szCs w:val="44"/>
        </w:rPr>
        <w:t>名词解释</w:t>
      </w:r>
    </w:p>
    <w:p w14:paraId="39C8FF18">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73A22FB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0C46777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0D228483">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footerReference r:id="rId3"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F9BC">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path/>
          <v:fill on="f" focussize="0,0"/>
          <v:stroke on="f" weight="0.5pt" joinstyle="miter"/>
          <v:imagedata o:title=""/>
          <o:lock v:ext="edit"/>
          <v:textbox inset="0mm,0mm,0mm,0mm" style="mso-fit-shape-to-text:t;">
            <w:txbxContent>
              <w:p w14:paraId="000144C9">
                <w:pPr>
                  <w:pStyle w:val="5"/>
                </w:pPr>
                <w:r>
                  <w:fldChar w:fldCharType="begin"/>
                </w:r>
                <w:r>
                  <w:instrText xml:space="preserve"> PAGE  \* MERGEFORMAT </w:instrText>
                </w:r>
                <w:r>
                  <w:fldChar w:fldCharType="separate"/>
                </w:r>
                <w: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4E3AD"/>
    <w:multiLevelType w:val="singleLevel"/>
    <w:tmpl w:val="0C74E3AD"/>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VlZWUwNDYyOThkZGYyM2RhOTk2NWM1OGYyOWY4NzA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14FF8"/>
    <w:rsid w:val="003227B2"/>
    <w:rsid w:val="003536BE"/>
    <w:rsid w:val="003B25FB"/>
    <w:rsid w:val="004A482F"/>
    <w:rsid w:val="004F39BF"/>
    <w:rsid w:val="005062D7"/>
    <w:rsid w:val="005175E6"/>
    <w:rsid w:val="00525157"/>
    <w:rsid w:val="005349A2"/>
    <w:rsid w:val="00575537"/>
    <w:rsid w:val="005D1367"/>
    <w:rsid w:val="005D3F56"/>
    <w:rsid w:val="00637C4D"/>
    <w:rsid w:val="00654D17"/>
    <w:rsid w:val="006623EC"/>
    <w:rsid w:val="006A094D"/>
    <w:rsid w:val="006D2409"/>
    <w:rsid w:val="006E65DB"/>
    <w:rsid w:val="00776FF3"/>
    <w:rsid w:val="0078156E"/>
    <w:rsid w:val="00786E74"/>
    <w:rsid w:val="007D1285"/>
    <w:rsid w:val="007E49E1"/>
    <w:rsid w:val="007F6DA7"/>
    <w:rsid w:val="008174D5"/>
    <w:rsid w:val="00885126"/>
    <w:rsid w:val="0089698B"/>
    <w:rsid w:val="008A27A5"/>
    <w:rsid w:val="008D48A9"/>
    <w:rsid w:val="00941A30"/>
    <w:rsid w:val="00977DCC"/>
    <w:rsid w:val="009820CF"/>
    <w:rsid w:val="00982A8B"/>
    <w:rsid w:val="009A7ED3"/>
    <w:rsid w:val="009D74D7"/>
    <w:rsid w:val="00A57AE7"/>
    <w:rsid w:val="00A93C17"/>
    <w:rsid w:val="00AF71AE"/>
    <w:rsid w:val="00B33C70"/>
    <w:rsid w:val="00B57183"/>
    <w:rsid w:val="00B75228"/>
    <w:rsid w:val="00B811F1"/>
    <w:rsid w:val="00B81B9F"/>
    <w:rsid w:val="00BC763A"/>
    <w:rsid w:val="00BC7D6F"/>
    <w:rsid w:val="00BD3CAC"/>
    <w:rsid w:val="00BF697A"/>
    <w:rsid w:val="00C14D3D"/>
    <w:rsid w:val="00C52E77"/>
    <w:rsid w:val="00C65A44"/>
    <w:rsid w:val="00C76AC3"/>
    <w:rsid w:val="00C83EB4"/>
    <w:rsid w:val="00D4505A"/>
    <w:rsid w:val="00D65B41"/>
    <w:rsid w:val="00DC3234"/>
    <w:rsid w:val="00DC3CD0"/>
    <w:rsid w:val="00DD60B5"/>
    <w:rsid w:val="00E077C3"/>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1F2F2064"/>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357906"/>
    <w:rsid w:val="2D5A0475"/>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37D2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CA3F00"/>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65D659A"/>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1"/>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tabs>
        <w:tab w:val="center" w:pos="4153"/>
        <w:tab w:val="right" w:pos="8306"/>
      </w:tabs>
      <w:snapToGrid w:val="0"/>
      <w:jc w:val="center"/>
    </w:pPr>
    <w:rPr>
      <w:sz w:val="18"/>
      <w:szCs w:val="18"/>
    </w:rPr>
  </w:style>
  <w:style w:type="paragraph" w:styleId="7">
    <w:name w:val="toc 2"/>
    <w:basedOn w:val="1"/>
    <w:next w:val="1"/>
    <w:unhideWhenUsed/>
    <w:qFormat/>
    <w:uiPriority w:val="39"/>
    <w:pPr>
      <w:widowControl/>
      <w:spacing w:after="100" w:line="276" w:lineRule="auto"/>
      <w:ind w:left="220"/>
      <w:jc w:val="left"/>
    </w:pPr>
    <w:rPr>
      <w:rFonts w:ascii="Calibri" w:hAnsi="Calibri" w:eastAsia="宋体" w:cs="Times New Roman"/>
      <w:kern w:val="0"/>
      <w:sz w:val="22"/>
    </w:rPr>
  </w:style>
  <w:style w:type="character" w:customStyle="1" w:styleId="10">
    <w:name w:val="标题 1 Char"/>
    <w:basedOn w:val="9"/>
    <w:link w:val="2"/>
    <w:qFormat/>
    <w:uiPriority w:val="99"/>
    <w:rPr>
      <w:rFonts w:ascii="方正小标宋简体" w:eastAsia="方正小标宋简体"/>
      <w:kern w:val="0"/>
      <w:sz w:val="24"/>
      <w:szCs w:val="24"/>
    </w:rPr>
  </w:style>
  <w:style w:type="character" w:customStyle="1" w:styleId="11">
    <w:name w:val="标题 2 Char"/>
    <w:basedOn w:val="9"/>
    <w:link w:val="3"/>
    <w:qFormat/>
    <w:uiPriority w:val="99"/>
    <w:rPr>
      <w:rFonts w:ascii="方正小标宋简体" w:eastAsia="方正小标宋简体"/>
      <w:kern w:val="0"/>
      <w:sz w:val="24"/>
      <w:szCs w:val="24"/>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xitongcheng</Company>
  <Pages>13</Pages>
  <Words>3830</Words>
  <Characters>4327</Characters>
  <Lines>47</Lines>
  <Paragraphs>13</Paragraphs>
  <TotalTime>1</TotalTime>
  <ScaleCrop>false</ScaleCrop>
  <LinksUpToDate>false</LinksUpToDate>
  <CharactersWithSpaces>4389</CharactersWithSpaces>
  <Application>WPS Office_12.1.0.17150_F1E327BC-269C-435d-A152-05C5408002CA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2024-09-06T01:21:44Z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A44E0A178634409BBBA50D5636087390_13</vt:lpwstr>
  </property>
</Properties>
</file>