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2A61D">
      <w:pPr>
        <w:autoSpaceDE w:val="0"/>
        <w:autoSpaceDN w:val="0"/>
        <w:adjustRightInd w:val="0"/>
        <w:jc w:val="center"/>
        <w:rPr>
          <w:rFonts w:ascii="Times New Roman" w:hAnsi="Times New Roman" w:eastAsia="方正小标宋简体" w:cs="方正小标宋简体"/>
          <w:kern w:val="0"/>
          <w:sz w:val="48"/>
          <w:szCs w:val="48"/>
          <w:lang w:val="zh-CN"/>
        </w:rPr>
      </w:pPr>
    </w:p>
    <w:p w14:paraId="4E6B8086">
      <w:pPr>
        <w:autoSpaceDE w:val="0"/>
        <w:autoSpaceDN w:val="0"/>
        <w:adjustRightInd w:val="0"/>
        <w:jc w:val="center"/>
        <w:rPr>
          <w:rFonts w:ascii="Times New Roman" w:hAnsi="Times New Roman" w:eastAsia="方正小标宋简体" w:cs="方正小标宋简体"/>
          <w:kern w:val="0"/>
          <w:sz w:val="48"/>
          <w:szCs w:val="48"/>
          <w:lang w:val="zh-CN"/>
        </w:rPr>
      </w:pPr>
    </w:p>
    <w:p w14:paraId="0D2E744B">
      <w:pPr>
        <w:autoSpaceDE w:val="0"/>
        <w:autoSpaceDN w:val="0"/>
        <w:adjustRightInd w:val="0"/>
        <w:jc w:val="center"/>
        <w:rPr>
          <w:rFonts w:ascii="Times New Roman" w:hAnsi="Times New Roman" w:eastAsia="方正小标宋简体" w:cs="方正小标宋简体"/>
          <w:kern w:val="0"/>
          <w:sz w:val="48"/>
          <w:szCs w:val="48"/>
          <w:lang w:val="zh-CN"/>
        </w:rPr>
      </w:pPr>
    </w:p>
    <w:p w14:paraId="4A300C08">
      <w:pPr>
        <w:autoSpaceDE w:val="0"/>
        <w:autoSpaceDN w:val="0"/>
        <w:adjustRightInd w:val="0"/>
        <w:jc w:val="center"/>
        <w:rPr>
          <w:rFonts w:ascii="Times New Roman" w:hAnsi="Times New Roman" w:eastAsia="方正小标宋简体" w:cs="方正小标宋简体"/>
          <w:kern w:val="0"/>
          <w:sz w:val="48"/>
          <w:szCs w:val="48"/>
          <w:lang w:val="zh-CN"/>
        </w:rPr>
      </w:pPr>
    </w:p>
    <w:p w14:paraId="304A5DE2">
      <w:pPr>
        <w:autoSpaceDE w:val="0"/>
        <w:autoSpaceDN w:val="0"/>
        <w:adjustRightInd w:val="0"/>
        <w:jc w:val="center"/>
        <w:rPr>
          <w:rFonts w:ascii="Times New Roman" w:hAnsi="Times New Roman" w:eastAsia="方正小标宋简体" w:cs="方正小标宋简体"/>
          <w:kern w:val="0"/>
          <w:sz w:val="48"/>
          <w:szCs w:val="48"/>
          <w:lang w:val="zh-CN"/>
        </w:rPr>
      </w:pPr>
    </w:p>
    <w:p w14:paraId="30006BD0">
      <w:pPr>
        <w:autoSpaceDE w:val="0"/>
        <w:autoSpaceDN w:val="0"/>
        <w:adjustRightInd w:val="0"/>
        <w:jc w:val="center"/>
        <w:rPr>
          <w:rFonts w:ascii="Times New Roman" w:hAnsi="Times New Roman" w:eastAsia="方正小标宋简体" w:cs="方正小标宋简体"/>
          <w:kern w:val="0"/>
          <w:sz w:val="48"/>
          <w:szCs w:val="48"/>
          <w:lang w:val="zh-CN"/>
        </w:rPr>
      </w:pPr>
    </w:p>
    <w:p w14:paraId="1B34D3B2">
      <w:pPr>
        <w:autoSpaceDE w:val="0"/>
        <w:autoSpaceDN w:val="0"/>
        <w:adjustRightInd w:val="0"/>
        <w:jc w:val="center"/>
        <w:rPr>
          <w:rFonts w:ascii="Times New Roman" w:hAnsi="Times New Roman" w:eastAsia="方正小标宋简体" w:cs="方正小标宋简体"/>
          <w:kern w:val="0"/>
          <w:sz w:val="48"/>
          <w:szCs w:val="48"/>
          <w:lang w:val="zh-CN"/>
        </w:rPr>
      </w:pPr>
    </w:p>
    <w:p w14:paraId="54AA11EE">
      <w:pPr>
        <w:autoSpaceDE w:val="0"/>
        <w:autoSpaceDN w:val="0"/>
        <w:adjustRightInd w:val="0"/>
        <w:jc w:val="center"/>
        <w:rPr>
          <w:rFonts w:ascii="Times New Roman" w:hAnsi="Times New Roman" w:eastAsia="方正小标宋简体" w:cs="方正小标宋简体"/>
          <w:kern w:val="0"/>
          <w:sz w:val="48"/>
          <w:szCs w:val="48"/>
          <w:lang w:val="zh-CN"/>
        </w:rPr>
      </w:pPr>
    </w:p>
    <w:p w14:paraId="20D34E3C">
      <w:pPr>
        <w:autoSpaceDE w:val="0"/>
        <w:autoSpaceDN w:val="0"/>
        <w:adjustRightInd w:val="0"/>
        <w:jc w:val="center"/>
        <w:rPr>
          <w:rFonts w:hint="eastAsia"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天津市航道工程处</w:t>
      </w:r>
    </w:p>
    <w:p w14:paraId="1B7EAF21">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2023年度部门决算</w:t>
      </w:r>
    </w:p>
    <w:p w14:paraId="66114C65">
      <w:pPr>
        <w:autoSpaceDE w:val="0"/>
        <w:autoSpaceDN w:val="0"/>
        <w:adjustRightInd w:val="0"/>
        <w:spacing w:line="580" w:lineRule="exact"/>
        <w:jc w:val="center"/>
        <w:rPr>
          <w:rFonts w:ascii="Times New Roman" w:hAnsi="Times New Roman" w:eastAsia="黑体" w:cs="黑体"/>
          <w:sz w:val="30"/>
          <w:szCs w:val="30"/>
        </w:rPr>
      </w:pPr>
    </w:p>
    <w:p w14:paraId="40AC9C80">
      <w:pPr>
        <w:autoSpaceDE w:val="0"/>
        <w:autoSpaceDN w:val="0"/>
        <w:adjustRightInd w:val="0"/>
        <w:spacing w:line="580" w:lineRule="exact"/>
        <w:jc w:val="center"/>
        <w:rPr>
          <w:rFonts w:ascii="Times New Roman" w:hAnsi="Times New Roman" w:eastAsia="黑体" w:cs="黑体"/>
          <w:sz w:val="30"/>
          <w:szCs w:val="30"/>
        </w:rPr>
      </w:pPr>
    </w:p>
    <w:p w14:paraId="38FCC439">
      <w:pPr>
        <w:autoSpaceDE w:val="0"/>
        <w:autoSpaceDN w:val="0"/>
        <w:adjustRightInd w:val="0"/>
        <w:spacing w:line="580" w:lineRule="exact"/>
        <w:jc w:val="center"/>
        <w:rPr>
          <w:rFonts w:ascii="Times New Roman" w:hAnsi="Times New Roman" w:eastAsia="黑体" w:cs="黑体"/>
          <w:sz w:val="30"/>
          <w:szCs w:val="30"/>
        </w:rPr>
      </w:pPr>
    </w:p>
    <w:p w14:paraId="5400A3DC">
      <w:pPr>
        <w:autoSpaceDE w:val="0"/>
        <w:autoSpaceDN w:val="0"/>
        <w:adjustRightInd w:val="0"/>
        <w:spacing w:line="580" w:lineRule="exact"/>
        <w:jc w:val="center"/>
        <w:rPr>
          <w:rFonts w:ascii="Times New Roman" w:hAnsi="Times New Roman" w:eastAsia="黑体" w:cs="黑体"/>
          <w:sz w:val="30"/>
          <w:szCs w:val="30"/>
        </w:rPr>
      </w:pPr>
    </w:p>
    <w:p w14:paraId="379B1101">
      <w:pPr>
        <w:autoSpaceDE w:val="0"/>
        <w:autoSpaceDN w:val="0"/>
        <w:adjustRightInd w:val="0"/>
        <w:spacing w:line="580" w:lineRule="exact"/>
        <w:jc w:val="center"/>
        <w:rPr>
          <w:rFonts w:ascii="Times New Roman" w:hAnsi="Times New Roman" w:eastAsia="黑体" w:cs="黑体"/>
          <w:sz w:val="30"/>
          <w:szCs w:val="30"/>
        </w:rPr>
      </w:pPr>
    </w:p>
    <w:p w14:paraId="2DE71FF2">
      <w:pPr>
        <w:autoSpaceDE w:val="0"/>
        <w:autoSpaceDN w:val="0"/>
        <w:adjustRightInd w:val="0"/>
        <w:spacing w:line="600" w:lineRule="exact"/>
        <w:jc w:val="center"/>
        <w:rPr>
          <w:rFonts w:hint="eastAsia" w:ascii="Times New Roman" w:hAnsi="Times New Roman" w:eastAsia="黑体" w:cs="黑体"/>
          <w:kern w:val="0"/>
          <w:sz w:val="44"/>
          <w:szCs w:val="44"/>
        </w:rPr>
        <w:sectPr>
          <w:headerReference r:id="rId4" w:type="first"/>
          <w:footerReference r:id="rId6" w:type="first"/>
          <w:headerReference r:id="rId3" w:type="even"/>
          <w:footerReference r:id="rId5" w:type="even"/>
          <w:pgSz w:w="12240" w:h="15840"/>
          <w:pgMar w:top="1440" w:right="1800" w:bottom="1440" w:left="1800" w:header="720" w:footer="720" w:gutter="0"/>
          <w:cols w:space="720" w:num="1"/>
        </w:sectPr>
      </w:pPr>
    </w:p>
    <w:p w14:paraId="2EC4E4F4">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529035B6">
      <w:pPr>
        <w:autoSpaceDE w:val="0"/>
        <w:autoSpaceDN w:val="0"/>
        <w:adjustRightInd w:val="0"/>
        <w:spacing w:line="600" w:lineRule="exact"/>
        <w:jc w:val="left"/>
        <w:rPr>
          <w:rFonts w:ascii="Times New Roman" w:hAnsi="Times New Roman" w:eastAsia="黑体" w:cs="黑体"/>
          <w:kern w:val="0"/>
          <w:sz w:val="30"/>
          <w:szCs w:val="30"/>
        </w:rPr>
      </w:pPr>
    </w:p>
    <w:p w14:paraId="3B0E01C5">
      <w:pPr>
        <w:pStyle w:val="7"/>
        <w:tabs>
          <w:tab w:val="right" w:leader="dot" w:pos="8306"/>
          <w:tab w:val="clear" w:pos="8296"/>
        </w:tabs>
        <w:spacing w:after="0" w:line="700" w:lineRule="exact"/>
        <w:rPr>
          <w:rFonts w:ascii="Times New Roman" w:hAnsi="Times New Roman" w:eastAsia="方正小标宋简体"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TOC \o "1-3" \h \z \u </w:instrText>
      </w:r>
      <w:r>
        <w:rPr>
          <w:rFonts w:ascii="Times New Roman" w:hAnsi="Times New Roman" w:eastAsia="仿宋_GB2312" w:cs="Times New Roman"/>
          <w:sz w:val="30"/>
          <w:szCs w:val="30"/>
        </w:rPr>
        <w:fldChar w:fldCharType="separate"/>
      </w:r>
      <w:r>
        <w:rPr>
          <w:rFonts w:ascii="Times New Roman" w:hAnsi="Times New Roman" w:eastAsia="方正小标宋简体" w:cs="Times New Roman"/>
          <w:sz w:val="30"/>
          <w:szCs w:val="30"/>
        </w:rPr>
        <w:fldChar w:fldCharType="begin"/>
      </w:r>
      <w:r>
        <w:rPr>
          <w:rFonts w:ascii="Times New Roman" w:hAnsi="Times New Roman" w:eastAsia="方正小标宋简体" w:cs="Times New Roman"/>
          <w:sz w:val="30"/>
          <w:szCs w:val="30"/>
        </w:rPr>
        <w:instrText xml:space="preserve"> HYPERLINK \l _Toc6506 </w:instrText>
      </w:r>
      <w:r>
        <w:rPr>
          <w:rFonts w:ascii="Times New Roman" w:hAnsi="Times New Roman" w:eastAsia="方正小标宋简体" w:cs="Times New Roman"/>
          <w:sz w:val="30"/>
          <w:szCs w:val="30"/>
        </w:rPr>
        <w:fldChar w:fldCharType="separate"/>
      </w:r>
      <w:r>
        <w:rPr>
          <w:rFonts w:ascii="Times New Roman" w:hAnsi="Times New Roman" w:eastAsia="方正小标宋简体" w:cs="Times New Roman"/>
          <w:sz w:val="30"/>
          <w:szCs w:val="30"/>
        </w:rPr>
        <w:t>第一部分  概 况</w:t>
      </w:r>
      <w:r>
        <w:rPr>
          <w:rFonts w:ascii="Times New Roman" w:hAnsi="Times New Roman" w:eastAsia="方正小标宋简体" w:cs="Times New Roman"/>
          <w:sz w:val="30"/>
          <w:szCs w:val="30"/>
        </w:rPr>
        <w:tab/>
      </w:r>
      <w:r>
        <w:rPr>
          <w:rFonts w:ascii="Times New Roman" w:hAnsi="Times New Roman" w:eastAsia="方正小标宋简体" w:cs="Times New Roman"/>
          <w:sz w:val="30"/>
          <w:szCs w:val="30"/>
        </w:rPr>
        <w:fldChar w:fldCharType="begin"/>
      </w:r>
      <w:r>
        <w:rPr>
          <w:rFonts w:ascii="Times New Roman" w:hAnsi="Times New Roman" w:eastAsia="方正小标宋简体" w:cs="Times New Roman"/>
          <w:sz w:val="30"/>
          <w:szCs w:val="30"/>
        </w:rPr>
        <w:instrText xml:space="preserve"> PAGEREF _Toc6506 </w:instrText>
      </w:r>
      <w:r>
        <w:rPr>
          <w:rFonts w:ascii="Times New Roman" w:hAnsi="Times New Roman" w:eastAsia="方正小标宋简体" w:cs="Times New Roman"/>
          <w:sz w:val="30"/>
          <w:szCs w:val="30"/>
        </w:rPr>
        <w:fldChar w:fldCharType="separate"/>
      </w:r>
      <w:r>
        <w:rPr>
          <w:rFonts w:ascii="Times New Roman" w:hAnsi="Times New Roman" w:eastAsia="方正小标宋简体" w:cs="Times New Roman"/>
          <w:sz w:val="30"/>
          <w:szCs w:val="30"/>
        </w:rPr>
        <w:t>1</w:t>
      </w:r>
      <w:r>
        <w:rPr>
          <w:rFonts w:ascii="Times New Roman" w:hAnsi="Times New Roman" w:eastAsia="方正小标宋简体" w:cs="Times New Roman"/>
          <w:sz w:val="30"/>
          <w:szCs w:val="30"/>
        </w:rPr>
        <w:fldChar w:fldCharType="end"/>
      </w:r>
      <w:r>
        <w:rPr>
          <w:rFonts w:ascii="Times New Roman" w:hAnsi="Times New Roman" w:eastAsia="方正小标宋简体" w:cs="Times New Roman"/>
          <w:sz w:val="30"/>
          <w:szCs w:val="30"/>
        </w:rPr>
        <w:fldChar w:fldCharType="end"/>
      </w:r>
    </w:p>
    <w:p w14:paraId="328B7517">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_Toc9987 </w:instrText>
      </w:r>
      <w:r>
        <w:rPr>
          <w:rFonts w:ascii="Times New Roman" w:hAnsi="Times New Roman" w:eastAsia="仿宋_GB2312"/>
          <w:sz w:val="30"/>
          <w:szCs w:val="30"/>
        </w:rPr>
        <w:fldChar w:fldCharType="separate"/>
      </w:r>
      <w:r>
        <w:rPr>
          <w:rFonts w:ascii="Times New Roman" w:hAnsi="Times New Roman" w:eastAsia="仿宋_GB2312"/>
          <w:sz w:val="30"/>
          <w:szCs w:val="30"/>
        </w:rPr>
        <w:t>一、主要职责</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_Toc9987 </w:instrText>
      </w:r>
      <w:r>
        <w:rPr>
          <w:rFonts w:ascii="Times New Roman" w:hAnsi="Times New Roman" w:eastAsia="仿宋_GB2312"/>
          <w:sz w:val="30"/>
          <w:szCs w:val="30"/>
        </w:rPr>
        <w:fldChar w:fldCharType="separate"/>
      </w:r>
      <w:r>
        <w:rPr>
          <w:rFonts w:ascii="Times New Roman" w:hAnsi="Times New Roman" w:eastAsia="仿宋_GB2312"/>
          <w:sz w:val="30"/>
          <w:szCs w:val="30"/>
        </w:rPr>
        <w:t>1</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774ED4B9">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_Toc26464 </w:instrText>
      </w:r>
      <w:r>
        <w:rPr>
          <w:rFonts w:ascii="Times New Roman" w:hAnsi="Times New Roman" w:eastAsia="仿宋_GB2312"/>
          <w:sz w:val="30"/>
          <w:szCs w:val="30"/>
        </w:rPr>
        <w:fldChar w:fldCharType="separate"/>
      </w:r>
      <w:r>
        <w:rPr>
          <w:rFonts w:ascii="Times New Roman" w:hAnsi="Times New Roman" w:eastAsia="仿宋_GB2312"/>
          <w:sz w:val="30"/>
          <w:szCs w:val="30"/>
        </w:rPr>
        <w:t>二、机构设置</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_Toc26464 </w:instrText>
      </w:r>
      <w:r>
        <w:rPr>
          <w:rFonts w:ascii="Times New Roman" w:hAnsi="Times New Roman" w:eastAsia="仿宋_GB2312"/>
          <w:sz w:val="30"/>
          <w:szCs w:val="30"/>
        </w:rPr>
        <w:fldChar w:fldCharType="separate"/>
      </w:r>
      <w:r>
        <w:rPr>
          <w:rFonts w:ascii="Times New Roman" w:hAnsi="Times New Roman" w:eastAsia="仿宋_GB2312"/>
          <w:sz w:val="30"/>
          <w:szCs w:val="30"/>
        </w:rPr>
        <w:t>1</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7F865171">
      <w:pPr>
        <w:pStyle w:val="7"/>
        <w:tabs>
          <w:tab w:val="right" w:leader="dot" w:pos="8306"/>
          <w:tab w:val="clear" w:pos="8296"/>
        </w:tabs>
        <w:spacing w:after="0" w:line="700" w:lineRule="exact"/>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fldChar w:fldCharType="begin"/>
      </w:r>
      <w:r>
        <w:rPr>
          <w:rFonts w:ascii="Times New Roman" w:hAnsi="Times New Roman" w:eastAsia="方正小标宋简体" w:cs="Times New Roman"/>
          <w:sz w:val="30"/>
          <w:szCs w:val="30"/>
        </w:rPr>
        <w:instrText xml:space="preserve"> HYPERLINK \l _Toc30850 </w:instrText>
      </w:r>
      <w:r>
        <w:rPr>
          <w:rFonts w:ascii="Times New Roman" w:hAnsi="Times New Roman" w:eastAsia="方正小标宋简体" w:cs="Times New Roman"/>
          <w:sz w:val="30"/>
          <w:szCs w:val="30"/>
        </w:rPr>
        <w:fldChar w:fldCharType="separate"/>
      </w:r>
      <w:r>
        <w:rPr>
          <w:rFonts w:ascii="Times New Roman" w:hAnsi="Times New Roman" w:eastAsia="方正小标宋简体" w:cs="Times New Roman"/>
          <w:sz w:val="30"/>
          <w:szCs w:val="30"/>
        </w:rPr>
        <w:t xml:space="preserve">第二部分  </w:t>
      </w:r>
      <w:r>
        <w:rPr>
          <w:rFonts w:hint="eastAsia" w:ascii="Times New Roman" w:hAnsi="Times New Roman" w:eastAsia="方正小标宋简体" w:cs="Times New Roman"/>
          <w:sz w:val="30"/>
          <w:szCs w:val="30"/>
          <w:lang w:eastAsia="zh-CN"/>
        </w:rPr>
        <w:t>2023</w:t>
      </w:r>
      <w:r>
        <w:rPr>
          <w:rFonts w:ascii="Times New Roman" w:hAnsi="Times New Roman" w:eastAsia="方正小标宋简体" w:cs="Times New Roman"/>
          <w:sz w:val="30"/>
          <w:szCs w:val="30"/>
        </w:rPr>
        <w:t>年度部门决算表</w:t>
      </w:r>
      <w:r>
        <w:rPr>
          <w:rFonts w:ascii="Times New Roman" w:hAnsi="Times New Roman" w:eastAsia="方正小标宋简体" w:cs="Times New Roman"/>
          <w:sz w:val="30"/>
          <w:szCs w:val="30"/>
        </w:rPr>
        <w:tab/>
      </w:r>
      <w:r>
        <w:rPr>
          <w:rFonts w:ascii="Times New Roman" w:hAnsi="Times New Roman" w:eastAsia="方正小标宋简体" w:cs="Times New Roman"/>
          <w:sz w:val="30"/>
          <w:szCs w:val="30"/>
        </w:rPr>
        <w:fldChar w:fldCharType="begin"/>
      </w:r>
      <w:r>
        <w:rPr>
          <w:rFonts w:ascii="Times New Roman" w:hAnsi="Times New Roman" w:eastAsia="方正小标宋简体" w:cs="Times New Roman"/>
          <w:sz w:val="30"/>
          <w:szCs w:val="30"/>
        </w:rPr>
        <w:instrText xml:space="preserve"> PAGEREF _Toc30850 </w:instrText>
      </w:r>
      <w:r>
        <w:rPr>
          <w:rFonts w:ascii="Times New Roman" w:hAnsi="Times New Roman" w:eastAsia="方正小标宋简体" w:cs="Times New Roman"/>
          <w:sz w:val="30"/>
          <w:szCs w:val="30"/>
        </w:rPr>
        <w:fldChar w:fldCharType="separate"/>
      </w:r>
      <w:r>
        <w:rPr>
          <w:rFonts w:ascii="Times New Roman" w:hAnsi="Times New Roman" w:eastAsia="方正小标宋简体" w:cs="Times New Roman"/>
          <w:sz w:val="30"/>
          <w:szCs w:val="30"/>
        </w:rPr>
        <w:t>2</w:t>
      </w:r>
      <w:r>
        <w:rPr>
          <w:rFonts w:ascii="Times New Roman" w:hAnsi="Times New Roman" w:eastAsia="方正小标宋简体" w:cs="Times New Roman"/>
          <w:sz w:val="30"/>
          <w:szCs w:val="30"/>
        </w:rPr>
        <w:fldChar w:fldCharType="end"/>
      </w:r>
      <w:r>
        <w:rPr>
          <w:rFonts w:ascii="Times New Roman" w:hAnsi="Times New Roman" w:eastAsia="方正小标宋简体" w:cs="Times New Roman"/>
          <w:sz w:val="30"/>
          <w:szCs w:val="30"/>
        </w:rPr>
        <w:fldChar w:fldCharType="end"/>
      </w:r>
    </w:p>
    <w:p w14:paraId="54DF5DF0">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_Toc25952 </w:instrText>
      </w:r>
      <w:r>
        <w:rPr>
          <w:rFonts w:ascii="Times New Roman" w:hAnsi="Times New Roman" w:eastAsia="仿宋_GB2312"/>
          <w:sz w:val="30"/>
          <w:szCs w:val="30"/>
        </w:rPr>
        <w:fldChar w:fldCharType="separate"/>
      </w:r>
      <w:r>
        <w:rPr>
          <w:rFonts w:ascii="Times New Roman" w:hAnsi="Times New Roman" w:eastAsia="仿宋_GB2312"/>
          <w:sz w:val="30"/>
          <w:szCs w:val="30"/>
        </w:rPr>
        <w:t>一、收入支出决算总表</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_Toc25952 </w:instrText>
      </w:r>
      <w:r>
        <w:rPr>
          <w:rFonts w:ascii="Times New Roman" w:hAnsi="Times New Roman" w:eastAsia="仿宋_GB2312"/>
          <w:sz w:val="30"/>
          <w:szCs w:val="30"/>
        </w:rPr>
        <w:fldChar w:fldCharType="separate"/>
      </w:r>
      <w:r>
        <w:rPr>
          <w:rFonts w:ascii="Times New Roman" w:hAnsi="Times New Roman" w:eastAsia="仿宋_GB2312"/>
          <w:sz w:val="30"/>
          <w:szCs w:val="30"/>
        </w:rPr>
        <w:t>2</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3D0CCD5E">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_Toc14631 </w:instrText>
      </w:r>
      <w:r>
        <w:rPr>
          <w:rFonts w:ascii="Times New Roman" w:hAnsi="Times New Roman" w:eastAsia="仿宋_GB2312"/>
          <w:sz w:val="30"/>
          <w:szCs w:val="30"/>
        </w:rPr>
        <w:fldChar w:fldCharType="separate"/>
      </w:r>
      <w:r>
        <w:rPr>
          <w:rFonts w:ascii="Times New Roman" w:hAnsi="Times New Roman" w:eastAsia="仿宋_GB2312"/>
          <w:sz w:val="30"/>
          <w:szCs w:val="30"/>
        </w:rPr>
        <w:t>二、收入决算表（按功能分类列示）</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_Toc14631 </w:instrText>
      </w:r>
      <w:r>
        <w:rPr>
          <w:rFonts w:ascii="Times New Roman" w:hAnsi="Times New Roman" w:eastAsia="仿宋_GB2312"/>
          <w:sz w:val="30"/>
          <w:szCs w:val="30"/>
        </w:rPr>
        <w:fldChar w:fldCharType="separate"/>
      </w:r>
      <w:r>
        <w:rPr>
          <w:rFonts w:ascii="Times New Roman" w:hAnsi="Times New Roman" w:eastAsia="仿宋_GB2312"/>
          <w:sz w:val="30"/>
          <w:szCs w:val="30"/>
        </w:rPr>
        <w:t>2</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28498462">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_Toc15648 </w:instrText>
      </w:r>
      <w:r>
        <w:rPr>
          <w:rFonts w:ascii="Times New Roman" w:hAnsi="Times New Roman" w:eastAsia="仿宋_GB2312"/>
          <w:sz w:val="30"/>
          <w:szCs w:val="30"/>
        </w:rPr>
        <w:fldChar w:fldCharType="separate"/>
      </w:r>
      <w:r>
        <w:rPr>
          <w:rFonts w:ascii="Times New Roman" w:hAnsi="Times New Roman" w:eastAsia="仿宋_GB2312"/>
          <w:sz w:val="30"/>
          <w:szCs w:val="30"/>
        </w:rPr>
        <w:t>三、收入决算表（按单位列示）</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_Toc15648 </w:instrText>
      </w:r>
      <w:r>
        <w:rPr>
          <w:rFonts w:ascii="Times New Roman" w:hAnsi="Times New Roman" w:eastAsia="仿宋_GB2312"/>
          <w:sz w:val="30"/>
          <w:szCs w:val="30"/>
        </w:rPr>
        <w:fldChar w:fldCharType="separate"/>
      </w:r>
      <w:r>
        <w:rPr>
          <w:rFonts w:ascii="Times New Roman" w:hAnsi="Times New Roman" w:eastAsia="仿宋_GB2312"/>
          <w:sz w:val="30"/>
          <w:szCs w:val="30"/>
        </w:rPr>
        <w:t>2</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72753A9F">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_Toc2044 </w:instrText>
      </w:r>
      <w:r>
        <w:rPr>
          <w:rFonts w:ascii="Times New Roman" w:hAnsi="Times New Roman" w:eastAsia="仿宋_GB2312"/>
          <w:sz w:val="30"/>
          <w:szCs w:val="30"/>
        </w:rPr>
        <w:fldChar w:fldCharType="separate"/>
      </w:r>
      <w:r>
        <w:rPr>
          <w:rFonts w:ascii="Times New Roman" w:hAnsi="Times New Roman" w:eastAsia="仿宋_GB2312"/>
          <w:sz w:val="30"/>
          <w:szCs w:val="30"/>
        </w:rPr>
        <w:t>四、支出决算表</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_Toc2044 </w:instrText>
      </w:r>
      <w:r>
        <w:rPr>
          <w:rFonts w:ascii="Times New Roman" w:hAnsi="Times New Roman" w:eastAsia="仿宋_GB2312"/>
          <w:sz w:val="30"/>
          <w:szCs w:val="30"/>
        </w:rPr>
        <w:fldChar w:fldCharType="separate"/>
      </w:r>
      <w:r>
        <w:rPr>
          <w:rFonts w:ascii="Times New Roman" w:hAnsi="Times New Roman" w:eastAsia="仿宋_GB2312"/>
          <w:sz w:val="30"/>
          <w:szCs w:val="30"/>
        </w:rPr>
        <w:t>2</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1088AB4C">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_Toc25856 </w:instrText>
      </w:r>
      <w:r>
        <w:rPr>
          <w:rFonts w:ascii="Times New Roman" w:hAnsi="Times New Roman" w:eastAsia="仿宋_GB2312"/>
          <w:sz w:val="30"/>
          <w:szCs w:val="30"/>
        </w:rPr>
        <w:fldChar w:fldCharType="separate"/>
      </w:r>
      <w:r>
        <w:rPr>
          <w:rFonts w:ascii="Times New Roman" w:hAnsi="Times New Roman" w:eastAsia="仿宋_GB2312"/>
          <w:sz w:val="30"/>
          <w:szCs w:val="30"/>
        </w:rPr>
        <w:t>五、财政拨款收入支出决算总表</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_Toc25856 </w:instrText>
      </w:r>
      <w:r>
        <w:rPr>
          <w:rFonts w:ascii="Times New Roman" w:hAnsi="Times New Roman" w:eastAsia="仿宋_GB2312"/>
          <w:sz w:val="30"/>
          <w:szCs w:val="30"/>
        </w:rPr>
        <w:fldChar w:fldCharType="separate"/>
      </w:r>
      <w:r>
        <w:rPr>
          <w:rFonts w:ascii="Times New Roman" w:hAnsi="Times New Roman" w:eastAsia="仿宋_GB2312"/>
          <w:sz w:val="30"/>
          <w:szCs w:val="30"/>
        </w:rPr>
        <w:t>2</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2DC469A2">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_Toc3929 </w:instrText>
      </w:r>
      <w:r>
        <w:rPr>
          <w:rFonts w:ascii="Times New Roman" w:hAnsi="Times New Roman" w:eastAsia="仿宋_GB2312"/>
          <w:sz w:val="30"/>
          <w:szCs w:val="30"/>
        </w:rPr>
        <w:fldChar w:fldCharType="separate"/>
      </w:r>
      <w:r>
        <w:rPr>
          <w:rFonts w:ascii="Times New Roman" w:hAnsi="Times New Roman" w:eastAsia="仿宋_GB2312"/>
          <w:sz w:val="30"/>
          <w:szCs w:val="30"/>
        </w:rPr>
        <w:t>六、一般公共预算财政拨款支出决算表</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_Toc3929 </w:instrText>
      </w:r>
      <w:r>
        <w:rPr>
          <w:rFonts w:ascii="Times New Roman" w:hAnsi="Times New Roman" w:eastAsia="仿宋_GB2312"/>
          <w:sz w:val="30"/>
          <w:szCs w:val="30"/>
        </w:rPr>
        <w:fldChar w:fldCharType="separate"/>
      </w:r>
      <w:r>
        <w:rPr>
          <w:rFonts w:ascii="Times New Roman" w:hAnsi="Times New Roman" w:eastAsia="仿宋_GB2312"/>
          <w:sz w:val="30"/>
          <w:szCs w:val="30"/>
        </w:rPr>
        <w:t>2</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4117E3FC">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_Toc7568 </w:instrText>
      </w:r>
      <w:r>
        <w:rPr>
          <w:rFonts w:ascii="Times New Roman" w:hAnsi="Times New Roman" w:eastAsia="仿宋_GB2312"/>
          <w:sz w:val="30"/>
          <w:szCs w:val="30"/>
        </w:rPr>
        <w:fldChar w:fldCharType="separate"/>
      </w:r>
      <w:r>
        <w:rPr>
          <w:rFonts w:ascii="Times New Roman" w:hAnsi="Times New Roman" w:eastAsia="仿宋_GB2312"/>
          <w:sz w:val="30"/>
          <w:szCs w:val="30"/>
        </w:rPr>
        <w:t>七、一般公共预算财政拨款基本支出决算表</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_Toc7568 </w:instrText>
      </w:r>
      <w:r>
        <w:rPr>
          <w:rFonts w:ascii="Times New Roman" w:hAnsi="Times New Roman" w:eastAsia="仿宋_GB2312"/>
          <w:sz w:val="30"/>
          <w:szCs w:val="30"/>
        </w:rPr>
        <w:fldChar w:fldCharType="separate"/>
      </w:r>
      <w:r>
        <w:rPr>
          <w:rFonts w:ascii="Times New Roman" w:hAnsi="Times New Roman" w:eastAsia="仿宋_GB2312"/>
          <w:sz w:val="30"/>
          <w:szCs w:val="30"/>
        </w:rPr>
        <w:t>2</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6BD9B5F1">
      <w:pPr>
        <w:pStyle w:val="8"/>
        <w:tabs>
          <w:tab w:val="right" w:leader="dot" w:pos="8306"/>
        </w:tabs>
        <w:spacing w:after="0" w:line="700" w:lineRule="exact"/>
        <w:rPr>
          <w:rFonts w:ascii="Times New Roman" w:hAnsi="Times New Roman" w:eastAsia="仿宋_GB2312"/>
          <w:sz w:val="30"/>
          <w:szCs w:val="30"/>
          <w:highlight w:val="none"/>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_Toc25187 </w:instrText>
      </w:r>
      <w:r>
        <w:rPr>
          <w:rFonts w:ascii="Times New Roman" w:hAnsi="Times New Roman" w:eastAsia="仿宋_GB2312"/>
          <w:sz w:val="30"/>
          <w:szCs w:val="30"/>
          <w:highlight w:val="none"/>
        </w:rPr>
        <w:fldChar w:fldCharType="separate"/>
      </w:r>
      <w:r>
        <w:rPr>
          <w:rFonts w:hint="eastAsia" w:ascii="Times New Roman" w:hAnsi="Times New Roman" w:eastAsia="仿宋_GB2312"/>
          <w:sz w:val="30"/>
          <w:szCs w:val="30"/>
          <w:highlight w:val="none"/>
          <w:lang w:eastAsia="zh-CN"/>
        </w:rPr>
        <w:t>八</w:t>
      </w:r>
      <w:r>
        <w:rPr>
          <w:rFonts w:ascii="Times New Roman" w:hAnsi="Times New Roman" w:eastAsia="仿宋_GB2312"/>
          <w:sz w:val="30"/>
          <w:szCs w:val="30"/>
          <w:highlight w:val="none"/>
        </w:rPr>
        <w:t>、政府性基金预算财政拨款收入支出决算表</w:t>
      </w:r>
      <w:r>
        <w:rPr>
          <w:rFonts w:ascii="Times New Roman" w:hAnsi="Times New Roman" w:eastAsia="仿宋_GB2312"/>
          <w:sz w:val="30"/>
          <w:szCs w:val="30"/>
          <w:highlight w:val="none"/>
        </w:rPr>
        <w:tab/>
      </w: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PAGEREF _Toc25187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2</w:t>
      </w:r>
      <w:r>
        <w:rPr>
          <w:rFonts w:ascii="Times New Roman" w:hAnsi="Times New Roman" w:eastAsia="仿宋_GB2312"/>
          <w:sz w:val="30"/>
          <w:szCs w:val="30"/>
          <w:highlight w:val="none"/>
        </w:rPr>
        <w:fldChar w:fldCharType="end"/>
      </w:r>
      <w:r>
        <w:rPr>
          <w:rFonts w:ascii="Times New Roman" w:hAnsi="Times New Roman" w:eastAsia="仿宋_GB2312"/>
          <w:sz w:val="30"/>
          <w:szCs w:val="30"/>
          <w:highlight w:val="none"/>
        </w:rPr>
        <w:fldChar w:fldCharType="end"/>
      </w:r>
    </w:p>
    <w:p w14:paraId="5ECF36DA">
      <w:pPr>
        <w:pStyle w:val="8"/>
        <w:tabs>
          <w:tab w:val="right" w:leader="dot" w:pos="8306"/>
        </w:tabs>
        <w:spacing w:after="0" w:line="700" w:lineRule="exact"/>
        <w:rPr>
          <w:rFonts w:ascii="Times New Roman" w:hAnsi="Times New Roman" w:eastAsia="仿宋_GB2312"/>
          <w:sz w:val="30"/>
          <w:szCs w:val="30"/>
          <w:highlight w:val="none"/>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_Toc21022 </w:instrText>
      </w:r>
      <w:r>
        <w:rPr>
          <w:rFonts w:ascii="Times New Roman" w:hAnsi="Times New Roman" w:eastAsia="仿宋_GB2312"/>
          <w:sz w:val="30"/>
          <w:szCs w:val="30"/>
          <w:highlight w:val="none"/>
        </w:rPr>
        <w:fldChar w:fldCharType="separate"/>
      </w:r>
      <w:r>
        <w:rPr>
          <w:rFonts w:hint="eastAsia" w:ascii="Times New Roman" w:hAnsi="Times New Roman" w:eastAsia="仿宋_GB2312"/>
          <w:sz w:val="30"/>
          <w:szCs w:val="30"/>
          <w:highlight w:val="none"/>
          <w:lang w:eastAsia="zh-CN"/>
        </w:rPr>
        <w:t>九</w:t>
      </w:r>
      <w:r>
        <w:rPr>
          <w:rFonts w:ascii="Times New Roman" w:hAnsi="Times New Roman" w:eastAsia="仿宋_GB2312"/>
          <w:sz w:val="30"/>
          <w:szCs w:val="30"/>
          <w:highlight w:val="none"/>
        </w:rPr>
        <w:t>、国有资本经营预算财政拨款收入支出决算表</w:t>
      </w:r>
      <w:r>
        <w:rPr>
          <w:rFonts w:ascii="Times New Roman" w:hAnsi="Times New Roman" w:eastAsia="仿宋_GB2312"/>
          <w:sz w:val="30"/>
          <w:szCs w:val="30"/>
          <w:highlight w:val="none"/>
        </w:rPr>
        <w:tab/>
      </w: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PAGEREF _Toc21022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2</w:t>
      </w:r>
      <w:r>
        <w:rPr>
          <w:rFonts w:ascii="Times New Roman" w:hAnsi="Times New Roman" w:eastAsia="仿宋_GB2312"/>
          <w:sz w:val="30"/>
          <w:szCs w:val="30"/>
          <w:highlight w:val="none"/>
        </w:rPr>
        <w:fldChar w:fldCharType="end"/>
      </w:r>
      <w:r>
        <w:rPr>
          <w:rFonts w:ascii="Times New Roman" w:hAnsi="Times New Roman" w:eastAsia="仿宋_GB2312"/>
          <w:sz w:val="30"/>
          <w:szCs w:val="30"/>
          <w:highlight w:val="none"/>
        </w:rPr>
        <w:fldChar w:fldCharType="end"/>
      </w:r>
    </w:p>
    <w:p w14:paraId="2B0A4C94">
      <w:pPr>
        <w:pStyle w:val="8"/>
        <w:tabs>
          <w:tab w:val="right" w:leader="dot" w:pos="8306"/>
        </w:tabs>
        <w:spacing w:after="0" w:line="700" w:lineRule="exact"/>
        <w:rPr>
          <w:rFonts w:ascii="Times New Roman" w:hAnsi="Times New Roman" w:eastAsia="仿宋_GB2312"/>
          <w:sz w:val="30"/>
          <w:szCs w:val="30"/>
          <w:highlight w:val="none"/>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_Toc7181 </w:instrText>
      </w:r>
      <w:r>
        <w:rPr>
          <w:rFonts w:ascii="Times New Roman" w:hAnsi="Times New Roman" w:eastAsia="仿宋_GB2312"/>
          <w:sz w:val="30"/>
          <w:szCs w:val="30"/>
          <w:highlight w:val="none"/>
        </w:rPr>
        <w:fldChar w:fldCharType="separate"/>
      </w:r>
      <w:r>
        <w:rPr>
          <w:rFonts w:hint="eastAsia" w:ascii="Times New Roman" w:hAnsi="Times New Roman" w:eastAsia="仿宋_GB2312"/>
          <w:sz w:val="30"/>
          <w:szCs w:val="30"/>
          <w:highlight w:val="none"/>
          <w:lang w:eastAsia="zh-CN"/>
        </w:rPr>
        <w:t>十</w:t>
      </w:r>
      <w:r>
        <w:rPr>
          <w:rFonts w:ascii="Times New Roman" w:hAnsi="Times New Roman" w:eastAsia="仿宋_GB2312"/>
          <w:sz w:val="30"/>
          <w:szCs w:val="30"/>
          <w:highlight w:val="none"/>
        </w:rPr>
        <w:t>、财政拨款“三公”经费支出决算表</w:t>
      </w:r>
      <w:r>
        <w:rPr>
          <w:rFonts w:ascii="Times New Roman" w:hAnsi="Times New Roman" w:eastAsia="仿宋_GB2312"/>
          <w:sz w:val="30"/>
          <w:szCs w:val="30"/>
          <w:highlight w:val="none"/>
        </w:rPr>
        <w:tab/>
      </w: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PAGEREF _Toc7181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2</w:t>
      </w:r>
      <w:r>
        <w:rPr>
          <w:rFonts w:ascii="Times New Roman" w:hAnsi="Times New Roman" w:eastAsia="仿宋_GB2312"/>
          <w:sz w:val="30"/>
          <w:szCs w:val="30"/>
          <w:highlight w:val="none"/>
        </w:rPr>
        <w:fldChar w:fldCharType="end"/>
      </w:r>
      <w:r>
        <w:rPr>
          <w:rFonts w:ascii="Times New Roman" w:hAnsi="Times New Roman" w:eastAsia="仿宋_GB2312"/>
          <w:sz w:val="30"/>
          <w:szCs w:val="30"/>
          <w:highlight w:val="none"/>
        </w:rPr>
        <w:fldChar w:fldCharType="end"/>
      </w:r>
    </w:p>
    <w:p w14:paraId="416D30E1">
      <w:pPr>
        <w:pStyle w:val="8"/>
        <w:tabs>
          <w:tab w:val="right" w:leader="dot" w:pos="8306"/>
        </w:tabs>
        <w:spacing w:after="0" w:line="700" w:lineRule="exact"/>
        <w:rPr>
          <w:rFonts w:ascii="Times New Roman" w:hAnsi="Times New Roman" w:eastAsia="仿宋_GB2312"/>
          <w:sz w:val="30"/>
          <w:szCs w:val="30"/>
          <w:highlight w:val="none"/>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_Toc11621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十</w:t>
      </w:r>
      <w:r>
        <w:rPr>
          <w:rFonts w:hint="eastAsia" w:ascii="Times New Roman" w:hAnsi="Times New Roman" w:eastAsia="仿宋_GB2312"/>
          <w:sz w:val="30"/>
          <w:szCs w:val="30"/>
          <w:highlight w:val="none"/>
          <w:lang w:eastAsia="zh-CN"/>
        </w:rPr>
        <w:t>一</w:t>
      </w:r>
      <w:r>
        <w:rPr>
          <w:rFonts w:ascii="Times New Roman" w:hAnsi="Times New Roman" w:eastAsia="仿宋_GB2312"/>
          <w:sz w:val="30"/>
          <w:szCs w:val="30"/>
          <w:highlight w:val="none"/>
        </w:rPr>
        <w:t>、项目支出决算表</w:t>
      </w:r>
      <w:r>
        <w:rPr>
          <w:rFonts w:ascii="Times New Roman" w:hAnsi="Times New Roman" w:eastAsia="仿宋_GB2312"/>
          <w:sz w:val="30"/>
          <w:szCs w:val="30"/>
          <w:highlight w:val="none"/>
        </w:rPr>
        <w:tab/>
      </w: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PAGEREF _Toc11621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2</w:t>
      </w:r>
      <w:r>
        <w:rPr>
          <w:rFonts w:ascii="Times New Roman" w:hAnsi="Times New Roman" w:eastAsia="仿宋_GB2312"/>
          <w:sz w:val="30"/>
          <w:szCs w:val="30"/>
          <w:highlight w:val="none"/>
        </w:rPr>
        <w:fldChar w:fldCharType="end"/>
      </w:r>
      <w:r>
        <w:rPr>
          <w:rFonts w:ascii="Times New Roman" w:hAnsi="Times New Roman" w:eastAsia="仿宋_GB2312"/>
          <w:sz w:val="30"/>
          <w:szCs w:val="30"/>
          <w:highlight w:val="none"/>
        </w:rPr>
        <w:fldChar w:fldCharType="end"/>
      </w:r>
    </w:p>
    <w:p w14:paraId="6039573B">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_Toc1045 </w:instrText>
      </w:r>
      <w:r>
        <w:rPr>
          <w:rFonts w:ascii="Times New Roman" w:hAnsi="Times New Roman" w:eastAsia="仿宋_GB2312"/>
          <w:sz w:val="30"/>
          <w:szCs w:val="30"/>
        </w:rPr>
        <w:fldChar w:fldCharType="separate"/>
      </w:r>
      <w:r>
        <w:rPr>
          <w:rFonts w:ascii="Times New Roman" w:hAnsi="Times New Roman" w:eastAsia="仿宋_GB2312"/>
          <w:sz w:val="30"/>
          <w:szCs w:val="30"/>
        </w:rPr>
        <w:t>十</w:t>
      </w:r>
      <w:r>
        <w:rPr>
          <w:rFonts w:hint="eastAsia" w:ascii="Times New Roman" w:hAnsi="Times New Roman" w:eastAsia="仿宋_GB2312"/>
          <w:sz w:val="30"/>
          <w:szCs w:val="30"/>
          <w:lang w:eastAsia="zh-CN"/>
        </w:rPr>
        <w:t>二</w:t>
      </w:r>
      <w:r>
        <w:rPr>
          <w:rFonts w:ascii="Times New Roman" w:hAnsi="Times New Roman" w:eastAsia="仿宋_GB2312"/>
          <w:sz w:val="30"/>
          <w:szCs w:val="30"/>
        </w:rPr>
        <w:t>、关于空表的说明</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_Toc1045 </w:instrText>
      </w:r>
      <w:r>
        <w:rPr>
          <w:rFonts w:ascii="Times New Roman" w:hAnsi="Times New Roman" w:eastAsia="仿宋_GB2312"/>
          <w:sz w:val="30"/>
          <w:szCs w:val="30"/>
        </w:rPr>
        <w:fldChar w:fldCharType="separate"/>
      </w:r>
      <w:r>
        <w:rPr>
          <w:rFonts w:ascii="Times New Roman" w:hAnsi="Times New Roman" w:eastAsia="仿宋_GB2312"/>
          <w:sz w:val="30"/>
          <w:szCs w:val="30"/>
        </w:rPr>
        <w:t>3</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4DD2117F">
      <w:pPr>
        <w:pStyle w:val="7"/>
        <w:tabs>
          <w:tab w:val="right" w:leader="dot" w:pos="8306"/>
          <w:tab w:val="clear" w:pos="8296"/>
        </w:tabs>
        <w:spacing w:after="0" w:line="700" w:lineRule="exact"/>
        <w:rPr>
          <w:rFonts w:ascii="Times New Roman" w:hAnsi="Times New Roman" w:eastAsia="方正小标宋简体" w:cs="Times New Roman"/>
          <w:sz w:val="30"/>
          <w:szCs w:val="30"/>
        </w:rPr>
        <w:sectPr>
          <w:footerReference r:id="rId7" w:type="default"/>
          <w:pgSz w:w="11906" w:h="16838"/>
          <w:pgMar w:top="1440" w:right="1800" w:bottom="1440" w:left="1800" w:header="851" w:footer="992" w:gutter="0"/>
          <w:pgNumType w:start="1"/>
          <w:cols w:space="720" w:num="1"/>
          <w:docGrid w:type="lines" w:linePitch="312" w:charSpace="0"/>
        </w:sectPr>
      </w:pPr>
    </w:p>
    <w:p w14:paraId="55280F03">
      <w:pPr>
        <w:pStyle w:val="7"/>
        <w:tabs>
          <w:tab w:val="right" w:leader="dot" w:pos="8306"/>
          <w:tab w:val="clear" w:pos="8296"/>
        </w:tabs>
        <w:spacing w:after="0" w:line="700" w:lineRule="exact"/>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fldChar w:fldCharType="begin"/>
      </w:r>
      <w:r>
        <w:rPr>
          <w:rFonts w:ascii="Times New Roman" w:hAnsi="Times New Roman" w:eastAsia="方正小标宋简体" w:cs="Times New Roman"/>
          <w:sz w:val="30"/>
          <w:szCs w:val="30"/>
        </w:rPr>
        <w:instrText xml:space="preserve"> HYPERLINK \l _Toc20137 </w:instrText>
      </w:r>
      <w:r>
        <w:rPr>
          <w:rFonts w:ascii="Times New Roman" w:hAnsi="Times New Roman" w:eastAsia="方正小标宋简体" w:cs="Times New Roman"/>
          <w:sz w:val="30"/>
          <w:szCs w:val="30"/>
        </w:rPr>
        <w:fldChar w:fldCharType="separate"/>
      </w:r>
      <w:r>
        <w:rPr>
          <w:rFonts w:ascii="Times New Roman" w:hAnsi="Times New Roman" w:eastAsia="方正小标宋简体" w:cs="Times New Roman"/>
          <w:sz w:val="30"/>
          <w:szCs w:val="30"/>
        </w:rPr>
        <w:t xml:space="preserve">第三部分  </w:t>
      </w:r>
      <w:r>
        <w:rPr>
          <w:rFonts w:hint="eastAsia" w:ascii="Times New Roman" w:hAnsi="Times New Roman" w:eastAsia="方正小标宋简体" w:cs="Times New Roman"/>
          <w:sz w:val="30"/>
          <w:szCs w:val="30"/>
          <w:lang w:eastAsia="zh-CN"/>
        </w:rPr>
        <w:t>2023</w:t>
      </w:r>
      <w:r>
        <w:rPr>
          <w:rFonts w:ascii="Times New Roman" w:hAnsi="Times New Roman" w:eastAsia="方正小标宋简体" w:cs="Times New Roman"/>
          <w:sz w:val="30"/>
          <w:szCs w:val="30"/>
        </w:rPr>
        <w:t>年度部门决算情况说明</w:t>
      </w:r>
      <w:r>
        <w:rPr>
          <w:rFonts w:ascii="Times New Roman" w:hAnsi="Times New Roman" w:eastAsia="方正小标宋简体" w:cs="Times New Roman"/>
          <w:sz w:val="30"/>
          <w:szCs w:val="30"/>
        </w:rPr>
        <w:tab/>
      </w:r>
      <w:r>
        <w:rPr>
          <w:rFonts w:ascii="Times New Roman" w:hAnsi="Times New Roman" w:eastAsia="方正小标宋简体" w:cs="Times New Roman"/>
          <w:sz w:val="30"/>
          <w:szCs w:val="30"/>
        </w:rPr>
        <w:fldChar w:fldCharType="begin"/>
      </w:r>
      <w:r>
        <w:rPr>
          <w:rFonts w:ascii="Times New Roman" w:hAnsi="Times New Roman" w:eastAsia="方正小标宋简体" w:cs="Times New Roman"/>
          <w:sz w:val="30"/>
          <w:szCs w:val="30"/>
        </w:rPr>
        <w:instrText xml:space="preserve"> PAGEREF _Toc20137 </w:instrText>
      </w:r>
      <w:r>
        <w:rPr>
          <w:rFonts w:ascii="Times New Roman" w:hAnsi="Times New Roman" w:eastAsia="方正小标宋简体" w:cs="Times New Roman"/>
          <w:sz w:val="30"/>
          <w:szCs w:val="30"/>
        </w:rPr>
        <w:fldChar w:fldCharType="separate"/>
      </w:r>
      <w:r>
        <w:rPr>
          <w:rFonts w:ascii="Times New Roman" w:hAnsi="Times New Roman" w:eastAsia="方正小标宋简体" w:cs="Times New Roman"/>
          <w:sz w:val="30"/>
          <w:szCs w:val="30"/>
        </w:rPr>
        <w:t>4</w:t>
      </w:r>
      <w:r>
        <w:rPr>
          <w:rFonts w:ascii="Times New Roman" w:hAnsi="Times New Roman" w:eastAsia="方正小标宋简体" w:cs="Times New Roman"/>
          <w:sz w:val="30"/>
          <w:szCs w:val="30"/>
        </w:rPr>
        <w:fldChar w:fldCharType="end"/>
      </w:r>
      <w:r>
        <w:rPr>
          <w:rFonts w:ascii="Times New Roman" w:hAnsi="Times New Roman" w:eastAsia="方正小标宋简体" w:cs="Times New Roman"/>
          <w:sz w:val="30"/>
          <w:szCs w:val="30"/>
        </w:rPr>
        <w:fldChar w:fldCharType="end"/>
      </w:r>
    </w:p>
    <w:p w14:paraId="514D5748">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_Toc10868 </w:instrText>
      </w:r>
      <w:r>
        <w:rPr>
          <w:rFonts w:ascii="Times New Roman" w:hAnsi="Times New Roman" w:eastAsia="仿宋_GB2312"/>
          <w:sz w:val="30"/>
          <w:szCs w:val="30"/>
        </w:rPr>
        <w:fldChar w:fldCharType="separate"/>
      </w:r>
      <w:r>
        <w:rPr>
          <w:rFonts w:ascii="Times New Roman" w:hAnsi="Times New Roman" w:eastAsia="仿宋_GB2312"/>
          <w:sz w:val="30"/>
          <w:szCs w:val="30"/>
        </w:rPr>
        <w:t>一、收支决算总体情况</w:t>
      </w:r>
      <w:r>
        <w:rPr>
          <w:rFonts w:hint="eastAsia" w:ascii="Times New Roman" w:hAnsi="Times New Roman" w:eastAsia="仿宋_GB2312"/>
          <w:sz w:val="30"/>
          <w:szCs w:val="30"/>
          <w:lang w:eastAsia="zh-CN"/>
        </w:rPr>
        <w:t>说明</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_Toc10868 </w:instrText>
      </w:r>
      <w:r>
        <w:rPr>
          <w:rFonts w:ascii="Times New Roman" w:hAnsi="Times New Roman" w:eastAsia="仿宋_GB2312"/>
          <w:sz w:val="30"/>
          <w:szCs w:val="30"/>
        </w:rPr>
        <w:fldChar w:fldCharType="separate"/>
      </w:r>
      <w:r>
        <w:rPr>
          <w:rFonts w:ascii="Times New Roman" w:hAnsi="Times New Roman" w:eastAsia="仿宋_GB2312"/>
          <w:sz w:val="30"/>
          <w:szCs w:val="30"/>
        </w:rPr>
        <w:t>4</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563598AF">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_Toc11824 </w:instrText>
      </w:r>
      <w:r>
        <w:rPr>
          <w:rFonts w:ascii="Times New Roman" w:hAnsi="Times New Roman" w:eastAsia="仿宋_GB2312"/>
          <w:sz w:val="30"/>
          <w:szCs w:val="30"/>
        </w:rPr>
        <w:fldChar w:fldCharType="separate"/>
      </w:r>
      <w:r>
        <w:rPr>
          <w:rFonts w:ascii="Times New Roman" w:hAnsi="Times New Roman" w:eastAsia="仿宋_GB2312"/>
          <w:sz w:val="30"/>
          <w:szCs w:val="30"/>
        </w:rPr>
        <w:t>二、收入决算情况</w:t>
      </w:r>
      <w:r>
        <w:rPr>
          <w:rFonts w:hint="eastAsia" w:ascii="Times New Roman" w:hAnsi="Times New Roman" w:eastAsia="仿宋_GB2312"/>
          <w:sz w:val="30"/>
          <w:szCs w:val="30"/>
          <w:lang w:eastAsia="zh-CN"/>
        </w:rPr>
        <w:t>说明</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_Toc11824 </w:instrText>
      </w:r>
      <w:r>
        <w:rPr>
          <w:rFonts w:ascii="Times New Roman" w:hAnsi="Times New Roman" w:eastAsia="仿宋_GB2312"/>
          <w:sz w:val="30"/>
          <w:szCs w:val="30"/>
        </w:rPr>
        <w:fldChar w:fldCharType="separate"/>
      </w:r>
      <w:r>
        <w:rPr>
          <w:rFonts w:ascii="Times New Roman" w:hAnsi="Times New Roman" w:eastAsia="仿宋_GB2312"/>
          <w:sz w:val="30"/>
          <w:szCs w:val="30"/>
        </w:rPr>
        <w:t>4</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047157B5">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_Toc16536 </w:instrText>
      </w:r>
      <w:r>
        <w:rPr>
          <w:rFonts w:ascii="Times New Roman" w:hAnsi="Times New Roman" w:eastAsia="仿宋_GB2312"/>
          <w:sz w:val="30"/>
          <w:szCs w:val="30"/>
        </w:rPr>
        <w:fldChar w:fldCharType="separate"/>
      </w:r>
      <w:r>
        <w:rPr>
          <w:rFonts w:ascii="Times New Roman" w:hAnsi="Times New Roman" w:eastAsia="仿宋_GB2312"/>
          <w:sz w:val="30"/>
          <w:szCs w:val="30"/>
        </w:rPr>
        <w:t>三、支出决算情况</w:t>
      </w:r>
      <w:r>
        <w:rPr>
          <w:rFonts w:hint="eastAsia" w:ascii="Times New Roman" w:hAnsi="Times New Roman" w:eastAsia="仿宋_GB2312"/>
          <w:sz w:val="30"/>
          <w:szCs w:val="30"/>
          <w:lang w:eastAsia="zh-CN"/>
        </w:rPr>
        <w:t>说明</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_Toc16536 </w:instrText>
      </w:r>
      <w:r>
        <w:rPr>
          <w:rFonts w:ascii="Times New Roman" w:hAnsi="Times New Roman" w:eastAsia="仿宋_GB2312"/>
          <w:sz w:val="30"/>
          <w:szCs w:val="30"/>
        </w:rPr>
        <w:fldChar w:fldCharType="separate"/>
      </w:r>
      <w:r>
        <w:rPr>
          <w:rFonts w:ascii="Times New Roman" w:hAnsi="Times New Roman" w:eastAsia="仿宋_GB2312"/>
          <w:sz w:val="30"/>
          <w:szCs w:val="30"/>
        </w:rPr>
        <w:t>4</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62673C29">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_Toc18362 </w:instrText>
      </w:r>
      <w:r>
        <w:rPr>
          <w:rFonts w:ascii="Times New Roman" w:hAnsi="Times New Roman" w:eastAsia="仿宋_GB2312"/>
          <w:sz w:val="30"/>
          <w:szCs w:val="30"/>
        </w:rPr>
        <w:fldChar w:fldCharType="separate"/>
      </w:r>
      <w:r>
        <w:rPr>
          <w:rFonts w:ascii="Times New Roman" w:hAnsi="Times New Roman" w:eastAsia="仿宋_GB2312"/>
          <w:sz w:val="30"/>
          <w:szCs w:val="30"/>
        </w:rPr>
        <w:t>四、财政拨款收支决算总体情况</w:t>
      </w:r>
      <w:r>
        <w:rPr>
          <w:rFonts w:hint="eastAsia" w:ascii="Times New Roman" w:hAnsi="Times New Roman" w:eastAsia="仿宋_GB2312"/>
          <w:sz w:val="30"/>
          <w:szCs w:val="30"/>
          <w:lang w:eastAsia="zh-CN"/>
        </w:rPr>
        <w:t>说明</w:t>
      </w:r>
      <w:r>
        <w:rPr>
          <w:rFonts w:ascii="Times New Roman" w:hAnsi="Times New Roman" w:eastAsia="仿宋_GB2312"/>
          <w:sz w:val="30"/>
          <w:szCs w:val="30"/>
        </w:rPr>
        <w:tab/>
      </w:r>
      <w:r>
        <w:rPr>
          <w:rFonts w:hint="eastAsia" w:ascii="Times New Roman" w:hAnsi="Times New Roman" w:eastAsia="仿宋_GB2312"/>
          <w:sz w:val="30"/>
          <w:szCs w:val="30"/>
          <w:lang w:val="en-US" w:eastAsia="zh-CN"/>
        </w:rPr>
        <w:t>4</w:t>
      </w:r>
      <w:r>
        <w:rPr>
          <w:rFonts w:ascii="Times New Roman" w:hAnsi="Times New Roman" w:eastAsia="仿宋_GB2312"/>
          <w:sz w:val="30"/>
          <w:szCs w:val="30"/>
        </w:rPr>
        <w:fldChar w:fldCharType="end"/>
      </w:r>
    </w:p>
    <w:p w14:paraId="0A715E03">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_Toc29106 </w:instrText>
      </w:r>
      <w:r>
        <w:rPr>
          <w:rFonts w:ascii="Times New Roman" w:hAnsi="Times New Roman" w:eastAsia="仿宋_GB2312"/>
          <w:sz w:val="30"/>
          <w:szCs w:val="30"/>
        </w:rPr>
        <w:fldChar w:fldCharType="separate"/>
      </w:r>
      <w:r>
        <w:rPr>
          <w:rFonts w:ascii="Times New Roman" w:hAnsi="Times New Roman" w:eastAsia="仿宋_GB2312"/>
          <w:sz w:val="30"/>
          <w:szCs w:val="30"/>
        </w:rPr>
        <w:t>五、一般公共预算财政拨款支出决算情况</w:t>
      </w:r>
      <w:r>
        <w:rPr>
          <w:rFonts w:hint="eastAsia" w:ascii="Times New Roman" w:hAnsi="Times New Roman" w:eastAsia="仿宋_GB2312"/>
          <w:sz w:val="30"/>
          <w:szCs w:val="30"/>
          <w:lang w:eastAsia="zh-CN"/>
        </w:rPr>
        <w:t>说明</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_Toc29106 </w:instrText>
      </w:r>
      <w:r>
        <w:rPr>
          <w:rFonts w:ascii="Times New Roman" w:hAnsi="Times New Roman" w:eastAsia="仿宋_GB2312"/>
          <w:sz w:val="30"/>
          <w:szCs w:val="30"/>
        </w:rPr>
        <w:fldChar w:fldCharType="separate"/>
      </w:r>
      <w:r>
        <w:rPr>
          <w:rFonts w:ascii="Times New Roman" w:hAnsi="Times New Roman" w:eastAsia="仿宋_GB2312"/>
          <w:sz w:val="30"/>
          <w:szCs w:val="30"/>
        </w:rPr>
        <w:t>5</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048784D4">
      <w:pPr>
        <w:pStyle w:val="8"/>
        <w:tabs>
          <w:tab w:val="right" w:leader="dot" w:pos="8306"/>
        </w:tabs>
        <w:spacing w:after="0" w:line="700" w:lineRule="exact"/>
        <w:rPr>
          <w:rFonts w:ascii="Times New Roman" w:hAnsi="Times New Roman" w:eastAsia="仿宋_GB2312"/>
          <w:sz w:val="30"/>
          <w:szCs w:val="30"/>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_Toc1636 </w:instrText>
      </w:r>
      <w:r>
        <w:rPr>
          <w:rFonts w:ascii="Times New Roman" w:hAnsi="Times New Roman" w:eastAsia="仿宋_GB2312"/>
          <w:sz w:val="30"/>
          <w:szCs w:val="30"/>
        </w:rPr>
        <w:fldChar w:fldCharType="separate"/>
      </w:r>
      <w:r>
        <w:rPr>
          <w:rFonts w:ascii="Times New Roman" w:hAnsi="Times New Roman" w:eastAsia="仿宋_GB2312"/>
          <w:sz w:val="30"/>
          <w:szCs w:val="30"/>
        </w:rPr>
        <w:t>六、一般公共预算财政拨款基本支出决算情况</w:t>
      </w:r>
      <w:r>
        <w:rPr>
          <w:rFonts w:hint="eastAsia" w:ascii="Times New Roman" w:hAnsi="Times New Roman" w:eastAsia="仿宋_GB2312"/>
          <w:sz w:val="30"/>
          <w:szCs w:val="30"/>
          <w:lang w:eastAsia="zh-CN"/>
        </w:rPr>
        <w:t>说明</w:t>
      </w:r>
      <w:r>
        <w:rPr>
          <w:rFonts w:ascii="Times New Roman" w:hAnsi="Times New Roman" w:eastAsia="仿宋_GB2312"/>
          <w:sz w:val="30"/>
          <w:szCs w:val="30"/>
        </w:rPr>
        <w:tab/>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PAGEREF _Toc1636 </w:instrText>
      </w:r>
      <w:r>
        <w:rPr>
          <w:rFonts w:ascii="Times New Roman" w:hAnsi="Times New Roman" w:eastAsia="仿宋_GB2312"/>
          <w:sz w:val="30"/>
          <w:szCs w:val="30"/>
        </w:rPr>
        <w:fldChar w:fldCharType="separate"/>
      </w:r>
      <w:r>
        <w:rPr>
          <w:rFonts w:ascii="Times New Roman" w:hAnsi="Times New Roman" w:eastAsia="仿宋_GB2312"/>
          <w:sz w:val="30"/>
          <w:szCs w:val="30"/>
        </w:rPr>
        <w:t>6</w:t>
      </w:r>
      <w:r>
        <w:rPr>
          <w:rFonts w:ascii="Times New Roman" w:hAnsi="Times New Roman" w:eastAsia="仿宋_GB2312"/>
          <w:sz w:val="30"/>
          <w:szCs w:val="30"/>
        </w:rPr>
        <w:fldChar w:fldCharType="end"/>
      </w:r>
      <w:r>
        <w:rPr>
          <w:rFonts w:ascii="Times New Roman" w:hAnsi="Times New Roman" w:eastAsia="仿宋_GB2312"/>
          <w:sz w:val="30"/>
          <w:szCs w:val="30"/>
        </w:rPr>
        <w:fldChar w:fldCharType="end"/>
      </w:r>
    </w:p>
    <w:p w14:paraId="589C3CF4">
      <w:pPr>
        <w:pStyle w:val="8"/>
        <w:tabs>
          <w:tab w:val="right" w:leader="dot" w:pos="8306"/>
        </w:tabs>
        <w:spacing w:after="0" w:line="700" w:lineRule="exact"/>
        <w:rPr>
          <w:rFonts w:ascii="Times New Roman" w:hAnsi="Times New Roman" w:eastAsia="仿宋_GB2312"/>
          <w:sz w:val="30"/>
          <w:szCs w:val="30"/>
          <w:highlight w:val="none"/>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_Toc18682 </w:instrText>
      </w:r>
      <w:r>
        <w:rPr>
          <w:rFonts w:ascii="Times New Roman" w:hAnsi="Times New Roman" w:eastAsia="仿宋_GB2312"/>
          <w:sz w:val="30"/>
          <w:szCs w:val="30"/>
          <w:highlight w:val="none"/>
        </w:rPr>
        <w:fldChar w:fldCharType="separate"/>
      </w:r>
      <w:r>
        <w:rPr>
          <w:rFonts w:hint="eastAsia" w:ascii="Times New Roman" w:hAnsi="Times New Roman" w:eastAsia="仿宋_GB2312"/>
          <w:sz w:val="30"/>
          <w:szCs w:val="30"/>
          <w:highlight w:val="none"/>
          <w:lang w:eastAsia="zh-CN"/>
        </w:rPr>
        <w:t>七</w:t>
      </w:r>
      <w:r>
        <w:rPr>
          <w:rFonts w:ascii="Times New Roman" w:hAnsi="Times New Roman" w:eastAsia="仿宋_GB2312"/>
          <w:sz w:val="30"/>
          <w:szCs w:val="30"/>
          <w:highlight w:val="none"/>
        </w:rPr>
        <w:t>、政府性基金预算财政拨款收支决算情况</w:t>
      </w:r>
      <w:r>
        <w:rPr>
          <w:rFonts w:hint="eastAsia" w:ascii="Times New Roman" w:hAnsi="Times New Roman" w:eastAsia="仿宋_GB2312"/>
          <w:sz w:val="30"/>
          <w:szCs w:val="30"/>
          <w:highlight w:val="none"/>
          <w:lang w:eastAsia="zh-CN"/>
        </w:rPr>
        <w:t>说明</w:t>
      </w:r>
      <w:r>
        <w:rPr>
          <w:rFonts w:ascii="Times New Roman" w:hAnsi="Times New Roman" w:eastAsia="仿宋_GB2312"/>
          <w:sz w:val="30"/>
          <w:szCs w:val="30"/>
          <w:highlight w:val="none"/>
        </w:rPr>
        <w:tab/>
      </w:r>
      <w:r>
        <w:rPr>
          <w:rFonts w:hint="eastAsia" w:ascii="Times New Roman" w:hAnsi="Times New Roman" w:eastAsia="仿宋_GB2312"/>
          <w:sz w:val="30"/>
          <w:szCs w:val="30"/>
          <w:highlight w:val="none"/>
          <w:lang w:val="en-US" w:eastAsia="zh-CN"/>
        </w:rPr>
        <w:t>7</w:t>
      </w:r>
      <w:r>
        <w:rPr>
          <w:rFonts w:ascii="Times New Roman" w:hAnsi="Times New Roman" w:eastAsia="仿宋_GB2312"/>
          <w:sz w:val="30"/>
          <w:szCs w:val="30"/>
          <w:highlight w:val="none"/>
        </w:rPr>
        <w:fldChar w:fldCharType="end"/>
      </w:r>
    </w:p>
    <w:p w14:paraId="4CE2E687">
      <w:pPr>
        <w:pStyle w:val="8"/>
        <w:tabs>
          <w:tab w:val="right" w:leader="dot" w:pos="8306"/>
        </w:tabs>
        <w:spacing w:after="0" w:line="700" w:lineRule="exact"/>
        <w:rPr>
          <w:rFonts w:ascii="Times New Roman" w:hAnsi="Times New Roman" w:eastAsia="仿宋_GB2312"/>
          <w:sz w:val="30"/>
          <w:szCs w:val="30"/>
          <w:highlight w:val="none"/>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_Toc11823 </w:instrText>
      </w:r>
      <w:r>
        <w:rPr>
          <w:rFonts w:ascii="Times New Roman" w:hAnsi="Times New Roman" w:eastAsia="仿宋_GB2312"/>
          <w:sz w:val="30"/>
          <w:szCs w:val="30"/>
          <w:highlight w:val="none"/>
        </w:rPr>
        <w:fldChar w:fldCharType="separate"/>
      </w:r>
      <w:r>
        <w:rPr>
          <w:rFonts w:hint="eastAsia" w:ascii="Times New Roman" w:hAnsi="Times New Roman" w:eastAsia="仿宋_GB2312"/>
          <w:sz w:val="30"/>
          <w:szCs w:val="30"/>
          <w:highlight w:val="none"/>
          <w:lang w:eastAsia="zh-CN"/>
        </w:rPr>
        <w:t>八</w:t>
      </w:r>
      <w:r>
        <w:rPr>
          <w:rFonts w:ascii="Times New Roman" w:hAnsi="Times New Roman" w:eastAsia="仿宋_GB2312"/>
          <w:sz w:val="30"/>
          <w:szCs w:val="30"/>
          <w:highlight w:val="none"/>
        </w:rPr>
        <w:t>、国有资本经营预算财政拨款收支决算情况</w:t>
      </w:r>
      <w:r>
        <w:rPr>
          <w:rFonts w:hint="eastAsia" w:ascii="Times New Roman" w:hAnsi="Times New Roman" w:eastAsia="仿宋_GB2312"/>
          <w:sz w:val="30"/>
          <w:szCs w:val="30"/>
          <w:highlight w:val="none"/>
          <w:lang w:eastAsia="zh-CN"/>
        </w:rPr>
        <w:t>说明</w:t>
      </w:r>
      <w:r>
        <w:rPr>
          <w:rFonts w:ascii="Times New Roman" w:hAnsi="Times New Roman" w:eastAsia="仿宋_GB2312"/>
          <w:sz w:val="30"/>
          <w:szCs w:val="30"/>
          <w:highlight w:val="none"/>
        </w:rPr>
        <w:tab/>
      </w:r>
      <w:r>
        <w:rPr>
          <w:rFonts w:hint="eastAsia" w:ascii="Times New Roman" w:hAnsi="Times New Roman" w:eastAsia="仿宋_GB2312"/>
          <w:sz w:val="30"/>
          <w:szCs w:val="30"/>
          <w:highlight w:val="none"/>
          <w:lang w:val="en-US" w:eastAsia="zh-CN"/>
        </w:rPr>
        <w:t>7</w:t>
      </w:r>
      <w:r>
        <w:rPr>
          <w:rFonts w:ascii="Times New Roman" w:hAnsi="Times New Roman" w:eastAsia="仿宋_GB2312"/>
          <w:sz w:val="30"/>
          <w:szCs w:val="30"/>
          <w:highlight w:val="none"/>
        </w:rPr>
        <w:fldChar w:fldCharType="end"/>
      </w:r>
    </w:p>
    <w:p w14:paraId="154404AC">
      <w:pPr>
        <w:pStyle w:val="8"/>
        <w:tabs>
          <w:tab w:val="right" w:leader="dot" w:pos="8306"/>
        </w:tabs>
        <w:spacing w:after="0" w:line="700" w:lineRule="exact"/>
        <w:rPr>
          <w:rFonts w:ascii="Times New Roman" w:hAnsi="Times New Roman" w:eastAsia="仿宋_GB2312"/>
          <w:sz w:val="30"/>
          <w:szCs w:val="30"/>
          <w:highlight w:val="none"/>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_Toc27173 </w:instrText>
      </w:r>
      <w:r>
        <w:rPr>
          <w:rFonts w:ascii="Times New Roman" w:hAnsi="Times New Roman" w:eastAsia="仿宋_GB2312"/>
          <w:sz w:val="30"/>
          <w:szCs w:val="30"/>
          <w:highlight w:val="none"/>
        </w:rPr>
        <w:fldChar w:fldCharType="separate"/>
      </w:r>
      <w:r>
        <w:rPr>
          <w:rFonts w:hint="eastAsia" w:ascii="Times New Roman" w:hAnsi="Times New Roman" w:eastAsia="仿宋_GB2312"/>
          <w:sz w:val="30"/>
          <w:szCs w:val="30"/>
          <w:highlight w:val="none"/>
          <w:lang w:eastAsia="zh-CN"/>
        </w:rPr>
        <w:t>九</w:t>
      </w:r>
      <w:r>
        <w:rPr>
          <w:rFonts w:ascii="Times New Roman" w:hAnsi="Times New Roman" w:eastAsia="仿宋_GB2312"/>
          <w:sz w:val="30"/>
          <w:szCs w:val="30"/>
          <w:highlight w:val="none"/>
        </w:rPr>
        <w:t>、财政拨款“三公”经费支出决算情况</w:t>
      </w:r>
      <w:r>
        <w:rPr>
          <w:rFonts w:hint="eastAsia" w:ascii="Times New Roman" w:hAnsi="Times New Roman" w:eastAsia="仿宋_GB2312"/>
          <w:sz w:val="30"/>
          <w:szCs w:val="30"/>
          <w:highlight w:val="none"/>
          <w:lang w:eastAsia="zh-CN"/>
        </w:rPr>
        <w:t>说明</w:t>
      </w:r>
      <w:r>
        <w:rPr>
          <w:rFonts w:ascii="Times New Roman" w:hAnsi="Times New Roman" w:eastAsia="仿宋_GB2312"/>
          <w:sz w:val="30"/>
          <w:szCs w:val="30"/>
          <w:highlight w:val="none"/>
        </w:rPr>
        <w:tab/>
      </w:r>
      <w:r>
        <w:rPr>
          <w:rFonts w:hint="eastAsia" w:ascii="Times New Roman" w:hAnsi="Times New Roman" w:eastAsia="仿宋_GB2312"/>
          <w:sz w:val="30"/>
          <w:szCs w:val="30"/>
          <w:highlight w:val="none"/>
          <w:lang w:val="en-US" w:eastAsia="zh-CN"/>
        </w:rPr>
        <w:t>7</w:t>
      </w:r>
      <w:r>
        <w:rPr>
          <w:rFonts w:ascii="Times New Roman" w:hAnsi="Times New Roman" w:eastAsia="仿宋_GB2312"/>
          <w:sz w:val="30"/>
          <w:szCs w:val="30"/>
          <w:highlight w:val="none"/>
        </w:rPr>
        <w:fldChar w:fldCharType="end"/>
      </w:r>
    </w:p>
    <w:p w14:paraId="4435D0D7">
      <w:pPr>
        <w:pStyle w:val="8"/>
        <w:tabs>
          <w:tab w:val="right" w:leader="dot" w:pos="8306"/>
        </w:tabs>
        <w:spacing w:after="0" w:line="700" w:lineRule="exact"/>
        <w:rPr>
          <w:rFonts w:ascii="Times New Roman" w:hAnsi="Times New Roman" w:eastAsia="仿宋_GB2312"/>
          <w:sz w:val="30"/>
          <w:szCs w:val="30"/>
          <w:highlight w:val="none"/>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_Toc8800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十、机关运行经费支出情况</w:t>
      </w:r>
      <w:r>
        <w:rPr>
          <w:rFonts w:hint="eastAsia" w:ascii="Times New Roman" w:hAnsi="Times New Roman" w:eastAsia="仿宋_GB2312"/>
          <w:sz w:val="30"/>
          <w:szCs w:val="30"/>
          <w:highlight w:val="none"/>
          <w:lang w:eastAsia="zh-CN"/>
        </w:rPr>
        <w:t>说明</w:t>
      </w:r>
      <w:r>
        <w:rPr>
          <w:rFonts w:ascii="Times New Roman" w:hAnsi="Times New Roman" w:eastAsia="仿宋_GB2312"/>
          <w:sz w:val="30"/>
          <w:szCs w:val="30"/>
          <w:highlight w:val="none"/>
        </w:rPr>
        <w:tab/>
      </w:r>
      <w:r>
        <w:rPr>
          <w:rFonts w:hint="eastAsia" w:ascii="Times New Roman" w:hAnsi="Times New Roman" w:eastAsia="仿宋_GB2312"/>
          <w:sz w:val="30"/>
          <w:szCs w:val="30"/>
          <w:highlight w:val="none"/>
          <w:lang w:val="en-US" w:eastAsia="zh-CN"/>
        </w:rPr>
        <w:t>9</w:t>
      </w:r>
      <w:r>
        <w:rPr>
          <w:rFonts w:ascii="Times New Roman" w:hAnsi="Times New Roman" w:eastAsia="仿宋_GB2312"/>
          <w:sz w:val="30"/>
          <w:szCs w:val="30"/>
          <w:highlight w:val="none"/>
        </w:rPr>
        <w:fldChar w:fldCharType="end"/>
      </w:r>
    </w:p>
    <w:p w14:paraId="0493258E">
      <w:pPr>
        <w:pStyle w:val="8"/>
        <w:tabs>
          <w:tab w:val="right" w:leader="dot" w:pos="8306"/>
        </w:tabs>
        <w:spacing w:after="0" w:line="700" w:lineRule="exact"/>
        <w:rPr>
          <w:rFonts w:hint="eastAsia" w:ascii="Times New Roman" w:hAnsi="Times New Roman" w:eastAsia="仿宋_GB2312"/>
          <w:sz w:val="30"/>
          <w:szCs w:val="30"/>
          <w:highlight w:val="none"/>
          <w:lang w:val="en-US" w:eastAsia="zh-CN"/>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_Toc8078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十</w:t>
      </w:r>
      <w:r>
        <w:rPr>
          <w:rFonts w:hint="eastAsia" w:ascii="Times New Roman" w:hAnsi="Times New Roman" w:eastAsia="仿宋_GB2312"/>
          <w:sz w:val="30"/>
          <w:szCs w:val="30"/>
          <w:highlight w:val="none"/>
          <w:lang w:eastAsia="zh-CN"/>
        </w:rPr>
        <w:t>一</w:t>
      </w:r>
      <w:r>
        <w:rPr>
          <w:rFonts w:ascii="Times New Roman" w:hAnsi="Times New Roman" w:eastAsia="仿宋_GB2312"/>
          <w:sz w:val="30"/>
          <w:szCs w:val="30"/>
          <w:highlight w:val="none"/>
        </w:rPr>
        <w:t>、政府采购支出情况</w:t>
      </w:r>
      <w:r>
        <w:rPr>
          <w:rFonts w:hint="eastAsia" w:ascii="Times New Roman" w:hAnsi="Times New Roman" w:eastAsia="仿宋_GB2312"/>
          <w:sz w:val="30"/>
          <w:szCs w:val="30"/>
          <w:highlight w:val="none"/>
          <w:lang w:eastAsia="zh-CN"/>
        </w:rPr>
        <w:t>说明</w:t>
      </w:r>
      <w:r>
        <w:rPr>
          <w:rFonts w:ascii="Times New Roman" w:hAnsi="Times New Roman" w:eastAsia="仿宋_GB2312"/>
          <w:sz w:val="30"/>
          <w:szCs w:val="30"/>
          <w:highlight w:val="none"/>
        </w:rPr>
        <w:tab/>
      </w:r>
      <w:r>
        <w:rPr>
          <w:rFonts w:hint="eastAsia" w:ascii="Times New Roman" w:hAnsi="Times New Roman" w:eastAsia="仿宋_GB2312"/>
          <w:sz w:val="30"/>
          <w:szCs w:val="30"/>
          <w:highlight w:val="none"/>
          <w:lang w:val="en-US" w:eastAsia="zh-CN"/>
        </w:rPr>
        <w:t>9</w:t>
      </w:r>
      <w:r>
        <w:rPr>
          <w:rFonts w:ascii="Times New Roman" w:hAnsi="Times New Roman" w:eastAsia="仿宋_GB2312"/>
          <w:sz w:val="30"/>
          <w:szCs w:val="30"/>
          <w:highlight w:val="none"/>
        </w:rPr>
        <w:fldChar w:fldCharType="end"/>
      </w:r>
    </w:p>
    <w:p w14:paraId="315B88EC">
      <w:pPr>
        <w:pStyle w:val="8"/>
        <w:tabs>
          <w:tab w:val="right" w:leader="dot" w:pos="8306"/>
        </w:tabs>
        <w:spacing w:after="0" w:line="700" w:lineRule="exact"/>
        <w:rPr>
          <w:rFonts w:hint="eastAsia" w:ascii="Times New Roman" w:hAnsi="Times New Roman" w:eastAsia="仿宋_GB2312"/>
          <w:sz w:val="30"/>
          <w:szCs w:val="30"/>
          <w:highlight w:val="none"/>
          <w:lang w:val="en-US" w:eastAsia="zh-CN"/>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_Toc2866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十</w:t>
      </w:r>
      <w:r>
        <w:rPr>
          <w:rFonts w:hint="eastAsia" w:ascii="Times New Roman" w:hAnsi="Times New Roman" w:eastAsia="仿宋_GB2312"/>
          <w:sz w:val="30"/>
          <w:szCs w:val="30"/>
          <w:highlight w:val="none"/>
          <w:lang w:eastAsia="zh-CN"/>
        </w:rPr>
        <w:t>二</w:t>
      </w:r>
      <w:r>
        <w:rPr>
          <w:rFonts w:ascii="Times New Roman" w:hAnsi="Times New Roman" w:eastAsia="仿宋_GB2312"/>
          <w:sz w:val="30"/>
          <w:szCs w:val="30"/>
          <w:highlight w:val="none"/>
        </w:rPr>
        <w:t>、国有资产占有使用情况</w:t>
      </w:r>
      <w:r>
        <w:rPr>
          <w:rFonts w:hint="eastAsia" w:ascii="Times New Roman" w:hAnsi="Times New Roman" w:eastAsia="仿宋_GB2312"/>
          <w:sz w:val="30"/>
          <w:szCs w:val="30"/>
          <w:highlight w:val="none"/>
          <w:lang w:eastAsia="zh-CN"/>
        </w:rPr>
        <w:t>说明</w:t>
      </w:r>
      <w:r>
        <w:rPr>
          <w:rFonts w:ascii="Times New Roman" w:hAnsi="Times New Roman" w:eastAsia="仿宋_GB2312"/>
          <w:sz w:val="30"/>
          <w:szCs w:val="30"/>
          <w:highlight w:val="none"/>
        </w:rPr>
        <w:tab/>
      </w:r>
      <w:r>
        <w:rPr>
          <w:rFonts w:ascii="Times New Roman" w:hAnsi="Times New Roman" w:eastAsia="仿宋_GB2312"/>
          <w:sz w:val="30"/>
          <w:szCs w:val="30"/>
          <w:highlight w:val="none"/>
        </w:rPr>
        <w:fldChar w:fldCharType="end"/>
      </w:r>
      <w:r>
        <w:rPr>
          <w:rFonts w:hint="eastAsia" w:ascii="Times New Roman" w:hAnsi="Times New Roman" w:eastAsia="仿宋_GB2312"/>
          <w:sz w:val="30"/>
          <w:szCs w:val="30"/>
          <w:highlight w:val="none"/>
          <w:lang w:val="en-US" w:eastAsia="zh-CN"/>
        </w:rPr>
        <w:t>9</w:t>
      </w:r>
    </w:p>
    <w:p w14:paraId="4AAA0F11">
      <w:pPr>
        <w:pStyle w:val="8"/>
        <w:tabs>
          <w:tab w:val="right" w:leader="dot" w:pos="8306"/>
        </w:tabs>
        <w:spacing w:after="0" w:line="700" w:lineRule="exact"/>
        <w:rPr>
          <w:rFonts w:hint="eastAsia" w:ascii="Times New Roman" w:hAnsi="Times New Roman" w:eastAsia="仿宋_GB2312"/>
          <w:sz w:val="30"/>
          <w:szCs w:val="30"/>
          <w:highlight w:val="none"/>
          <w:lang w:val="en-US" w:eastAsia="zh-CN"/>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_Toc3441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十</w:t>
      </w:r>
      <w:r>
        <w:rPr>
          <w:rFonts w:hint="eastAsia" w:ascii="Times New Roman" w:hAnsi="Times New Roman" w:eastAsia="仿宋_GB2312"/>
          <w:sz w:val="30"/>
          <w:szCs w:val="30"/>
          <w:highlight w:val="none"/>
          <w:lang w:eastAsia="zh-CN"/>
        </w:rPr>
        <w:t>三</w:t>
      </w:r>
      <w:r>
        <w:rPr>
          <w:rFonts w:ascii="Times New Roman" w:hAnsi="Times New Roman" w:eastAsia="仿宋_GB2312"/>
          <w:sz w:val="30"/>
          <w:szCs w:val="30"/>
          <w:highlight w:val="none"/>
        </w:rPr>
        <w:t>、预算绩效情况说明</w:t>
      </w:r>
      <w:r>
        <w:rPr>
          <w:rFonts w:ascii="Times New Roman" w:hAnsi="Times New Roman" w:eastAsia="仿宋_GB2312"/>
          <w:sz w:val="30"/>
          <w:szCs w:val="30"/>
          <w:highlight w:val="none"/>
        </w:rPr>
        <w:tab/>
      </w:r>
      <w:r>
        <w:rPr>
          <w:rFonts w:hint="eastAsia" w:ascii="Times New Roman" w:hAnsi="Times New Roman" w:eastAsia="仿宋_GB2312"/>
          <w:sz w:val="30"/>
          <w:szCs w:val="30"/>
          <w:highlight w:val="none"/>
          <w:lang w:val="en-US" w:eastAsia="zh-CN"/>
        </w:rPr>
        <w:t>1</w:t>
      </w:r>
      <w:r>
        <w:rPr>
          <w:rFonts w:ascii="Times New Roman" w:hAnsi="Times New Roman" w:eastAsia="仿宋_GB2312"/>
          <w:sz w:val="30"/>
          <w:szCs w:val="30"/>
          <w:highlight w:val="none"/>
        </w:rPr>
        <w:fldChar w:fldCharType="end"/>
      </w:r>
      <w:r>
        <w:rPr>
          <w:rFonts w:hint="eastAsia" w:ascii="Times New Roman" w:hAnsi="Times New Roman" w:eastAsia="仿宋_GB2312"/>
          <w:sz w:val="30"/>
          <w:szCs w:val="30"/>
          <w:highlight w:val="none"/>
          <w:lang w:val="en-US" w:eastAsia="zh-CN"/>
        </w:rPr>
        <w:t>0</w:t>
      </w:r>
    </w:p>
    <w:p w14:paraId="4AC90871">
      <w:pPr>
        <w:pStyle w:val="8"/>
        <w:tabs>
          <w:tab w:val="right" w:leader="dot" w:pos="8306"/>
        </w:tabs>
        <w:spacing w:after="0" w:line="700" w:lineRule="exact"/>
        <w:rPr>
          <w:rFonts w:hint="eastAsia" w:ascii="Times New Roman" w:hAnsi="Times New Roman" w:eastAsia="仿宋_GB2312"/>
          <w:sz w:val="30"/>
          <w:szCs w:val="30"/>
          <w:lang w:val="en-US" w:eastAsia="zh-CN"/>
        </w:rPr>
      </w:pP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HYPERLINK \l _Toc11040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十</w:t>
      </w:r>
      <w:r>
        <w:rPr>
          <w:rFonts w:hint="eastAsia" w:ascii="Times New Roman" w:hAnsi="Times New Roman" w:eastAsia="仿宋_GB2312"/>
          <w:sz w:val="30"/>
          <w:szCs w:val="30"/>
          <w:highlight w:val="none"/>
          <w:lang w:eastAsia="zh-CN"/>
        </w:rPr>
        <w:t>四</w:t>
      </w:r>
      <w:r>
        <w:rPr>
          <w:rFonts w:ascii="Times New Roman" w:hAnsi="Times New Roman" w:eastAsia="仿宋_GB2312"/>
          <w:sz w:val="30"/>
          <w:szCs w:val="30"/>
          <w:highlight w:val="none"/>
        </w:rPr>
        <w:t>、教育、医疗卫生、社会保障和就业、住房保障、涉农补贴等民生支出情况</w:t>
      </w:r>
      <w:r>
        <w:rPr>
          <w:rFonts w:hint="eastAsia" w:ascii="Times New Roman" w:hAnsi="Times New Roman" w:eastAsia="仿宋_GB2312"/>
          <w:sz w:val="30"/>
          <w:szCs w:val="30"/>
          <w:highlight w:val="none"/>
          <w:lang w:eastAsia="zh-CN"/>
        </w:rPr>
        <w:t>说明</w:t>
      </w:r>
      <w:r>
        <w:rPr>
          <w:rFonts w:ascii="Times New Roman" w:hAnsi="Times New Roman" w:eastAsia="仿宋_GB2312"/>
          <w:sz w:val="30"/>
          <w:szCs w:val="30"/>
          <w:highlight w:val="none"/>
        </w:rPr>
        <w:tab/>
      </w:r>
      <w:r>
        <w:rPr>
          <w:rFonts w:hint="eastAsia" w:ascii="Times New Roman" w:hAnsi="Times New Roman" w:eastAsia="仿宋_GB2312"/>
          <w:sz w:val="30"/>
          <w:szCs w:val="30"/>
          <w:highlight w:val="none"/>
          <w:lang w:val="en-US" w:eastAsia="zh-CN"/>
        </w:rPr>
        <w:t>1</w:t>
      </w:r>
      <w:r>
        <w:rPr>
          <w:rFonts w:ascii="Times New Roman" w:hAnsi="Times New Roman" w:eastAsia="仿宋_GB2312"/>
          <w:sz w:val="30"/>
          <w:szCs w:val="30"/>
          <w:highlight w:val="none"/>
        </w:rPr>
        <w:fldChar w:fldCharType="end"/>
      </w:r>
      <w:r>
        <w:rPr>
          <w:rFonts w:hint="eastAsia" w:ascii="Times New Roman" w:hAnsi="Times New Roman" w:eastAsia="仿宋_GB2312"/>
          <w:sz w:val="30"/>
          <w:szCs w:val="30"/>
          <w:highlight w:val="none"/>
          <w:lang w:val="en-US" w:eastAsia="zh-CN"/>
        </w:rPr>
        <w:t>0</w:t>
      </w:r>
    </w:p>
    <w:p w14:paraId="71136300">
      <w:pPr>
        <w:pStyle w:val="7"/>
        <w:tabs>
          <w:tab w:val="right" w:leader="dot" w:pos="8306"/>
          <w:tab w:val="clear" w:pos="8296"/>
        </w:tabs>
        <w:spacing w:after="0" w:line="700" w:lineRule="exact"/>
        <w:rPr>
          <w:rFonts w:hint="eastAsia"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_Toc18688 </w:instrText>
      </w:r>
      <w:r>
        <w:rPr>
          <w:rFonts w:ascii="Times New Roman" w:hAnsi="Times New Roman" w:eastAsia="仿宋_GB2312" w:cs="Times New Roman"/>
          <w:sz w:val="30"/>
          <w:szCs w:val="30"/>
        </w:rPr>
        <w:fldChar w:fldCharType="separate"/>
      </w:r>
      <w:r>
        <w:rPr>
          <w:rFonts w:ascii="Times New Roman" w:hAnsi="Times New Roman" w:eastAsia="方正小标宋简体" w:cs="Times New Roman"/>
          <w:sz w:val="30"/>
          <w:szCs w:val="30"/>
        </w:rPr>
        <w:t>第四部分  名词解释</w:t>
      </w:r>
      <w:r>
        <w:rPr>
          <w:rFonts w:ascii="Times New Roman" w:hAnsi="Times New Roman" w:cs="Times New Roman"/>
          <w:sz w:val="30"/>
          <w:szCs w:val="30"/>
        </w:rPr>
        <w:tab/>
      </w:r>
      <w:r>
        <w:rPr>
          <w:rFonts w:hint="eastAsia" w:ascii="Times New Roman" w:hAnsi="Times New Roman" w:cs="Times New Roman"/>
          <w:sz w:val="30"/>
          <w:szCs w:val="30"/>
          <w:lang w:val="en-US" w:eastAsia="zh-CN"/>
        </w:rPr>
        <w:t>1</w:t>
      </w:r>
      <w:r>
        <w:rPr>
          <w:rFonts w:ascii="Times New Roman" w:hAnsi="Times New Roman" w:eastAsia="仿宋_GB2312" w:cs="Times New Roman"/>
          <w:sz w:val="30"/>
          <w:szCs w:val="30"/>
        </w:rPr>
        <w:fldChar w:fldCharType="end"/>
      </w:r>
      <w:r>
        <w:rPr>
          <w:rFonts w:hint="eastAsia" w:ascii="Times New Roman" w:hAnsi="Times New Roman" w:eastAsia="仿宋_GB2312" w:cs="Times New Roman"/>
          <w:sz w:val="30"/>
          <w:szCs w:val="30"/>
          <w:lang w:val="en-US" w:eastAsia="zh-CN"/>
        </w:rPr>
        <w:t>1</w:t>
      </w:r>
    </w:p>
    <w:p w14:paraId="7E7E872E">
      <w:pPr>
        <w:keepNext/>
        <w:keepLines/>
        <w:autoSpaceDE w:val="0"/>
        <w:autoSpaceDN w:val="0"/>
        <w:adjustRightInd w:val="0"/>
        <w:spacing w:line="600" w:lineRule="exact"/>
        <w:jc w:val="center"/>
        <w:outlineLvl w:val="0"/>
        <w:rPr>
          <w:rFonts w:hint="eastAsia" w:ascii="Times New Roman" w:hAnsi="Times New Roman" w:eastAsia="方正小标宋简体" w:cs="方正小标宋简体"/>
          <w:kern w:val="44"/>
          <w:sz w:val="44"/>
          <w:szCs w:val="44"/>
        </w:rPr>
        <w:sectPr>
          <w:footerReference r:id="rId8" w:type="default"/>
          <w:pgSz w:w="12240" w:h="15840"/>
          <w:pgMar w:top="1440" w:right="1800" w:bottom="1440" w:left="1800" w:header="720" w:footer="720" w:gutter="0"/>
          <w:pgNumType w:start="1"/>
          <w:cols w:space="720" w:num="1"/>
        </w:sectPr>
      </w:pPr>
      <w:r>
        <w:rPr>
          <w:rFonts w:ascii="Times New Roman" w:hAnsi="Times New Roman" w:eastAsia="仿宋_GB2312"/>
          <w:sz w:val="30"/>
          <w:szCs w:val="30"/>
        </w:rPr>
        <w:fldChar w:fldCharType="end"/>
      </w:r>
    </w:p>
    <w:p w14:paraId="6E316495">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77EC92C0">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49C6BBDF">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6822380B">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天津市航道工程处主要职责是航道维护性疏浚，航道清障、勘测、整治。河口、海口防汛清淤以及海河搜救抢险、燃油补给、废油水回收等。</w:t>
      </w:r>
    </w:p>
    <w:p w14:paraId="03CCFCA1">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6A045EEA">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天津市航道工程处内设17个</w:t>
      </w:r>
      <w:r>
        <w:rPr>
          <w:rFonts w:eastAsia="仿宋_GB2312"/>
          <w:sz w:val="30"/>
          <w:szCs w:val="30"/>
        </w:rPr>
        <w:t>职能处室</w:t>
      </w:r>
      <w:r>
        <w:rPr>
          <w:rFonts w:hint="eastAsia" w:ascii="Times New Roman" w:hAnsi="Times New Roman" w:eastAsia="仿宋_GB2312" w:cs="仿宋_GB2312"/>
          <w:kern w:val="0"/>
          <w:sz w:val="30"/>
          <w:szCs w:val="30"/>
        </w:rPr>
        <w:t>；下辖0个预算单位。纳入天津市航道工程处2023年度部门决算编制范围的单位包括：</w:t>
      </w:r>
    </w:p>
    <w:p w14:paraId="44BA1A37">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lang w:val="en-US" w:eastAsia="zh-CN"/>
        </w:rPr>
        <w:t>1.</w:t>
      </w:r>
      <w:r>
        <w:rPr>
          <w:rFonts w:hint="eastAsia" w:ascii="Times New Roman" w:hAnsi="Times New Roman" w:eastAsia="仿宋_GB2312" w:cs="仿宋_GB2312"/>
          <w:kern w:val="0"/>
          <w:sz w:val="30"/>
          <w:szCs w:val="30"/>
        </w:rPr>
        <w:t>天津市航道工程处。</w:t>
      </w:r>
    </w:p>
    <w:p w14:paraId="328C7657">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51A4B096">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3617412F">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352C87F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0869953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558DD0B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3C8DF59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2D13A9A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665F3E0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6EDCA49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21A3C26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22649E4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0919465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29AB453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239ED8CF">
      <w:pPr>
        <w:autoSpaceDE w:val="0"/>
        <w:autoSpaceDN w:val="0"/>
        <w:adjustRightInd w:val="0"/>
        <w:spacing w:line="600" w:lineRule="exact"/>
        <w:jc w:val="left"/>
        <w:rPr>
          <w:rFonts w:ascii="Times New Roman" w:hAnsi="Times New Roman" w:eastAsia="黑体" w:cs="黑体"/>
          <w:b/>
          <w:bCs/>
          <w:kern w:val="0"/>
          <w:sz w:val="30"/>
          <w:szCs w:val="30"/>
        </w:rPr>
      </w:pPr>
      <w:r>
        <w:rPr>
          <w:rFonts w:hint="eastAsia" w:ascii="Times New Roman" w:hAnsi="Times New Roman" w:eastAsia="楷体" w:cs="楷体"/>
          <w:kern w:val="0"/>
          <w:sz w:val="30"/>
          <w:szCs w:val="30"/>
          <w:lang w:val="en-US" w:eastAsia="zh-CN"/>
        </w:rPr>
        <w:t xml:space="preserve"> </w:t>
      </w: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1FF04CED">
      <w:pPr>
        <w:keepNext/>
        <w:keepLines/>
        <w:autoSpaceDE w:val="0"/>
        <w:autoSpaceDN w:val="0"/>
        <w:adjustRightInd w:val="0"/>
        <w:spacing w:line="600" w:lineRule="exact"/>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1.天津市航道工程处2023年度一般公共预算财政拨款项目支出决算表为空表。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2.天津市航道工程处2023年度政府性基金预算财政拨款收入支出决算表为空表。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3.天津市航道工程处2023年度国有资本经营预算财政拨款收入支出决算表为空表。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4. 天津市航道工程处2023年度项目支出决算表为空表。</w:t>
      </w:r>
    </w:p>
    <w:p w14:paraId="60C3DDC3">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p>
    <w:p w14:paraId="6C9CAD67">
      <w:pPr>
        <w:rPr>
          <w:rFonts w:hint="eastAsia"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br w:type="page"/>
      </w:r>
    </w:p>
    <w:p w14:paraId="551F6E7C">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31DE736C">
      <w:pPr>
        <w:autoSpaceDE w:val="0"/>
        <w:autoSpaceDN w:val="0"/>
        <w:adjustRightInd w:val="0"/>
        <w:spacing w:line="580" w:lineRule="exact"/>
        <w:ind w:firstLine="600"/>
        <w:jc w:val="left"/>
        <w:rPr>
          <w:rFonts w:ascii="Times New Roman" w:hAnsi="Times New Roman" w:eastAsia="黑体" w:cs="黑体"/>
          <w:sz w:val="30"/>
          <w:szCs w:val="30"/>
          <w:lang w:val="zh-CN"/>
        </w:rPr>
      </w:pPr>
    </w:p>
    <w:p w14:paraId="3DFED10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73A698E4">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 w:cs="仿宋"/>
          <w:kern w:val="0"/>
          <w:sz w:val="30"/>
          <w:szCs w:val="30"/>
          <w:lang w:val="zh-CN"/>
        </w:rPr>
        <w:t>天津市航道工程处</w:t>
      </w:r>
      <w:r>
        <w:rPr>
          <w:rFonts w:hint="eastAsia" w:ascii="Times New Roman" w:hAnsi="Times New Roman" w:eastAsia="仿宋" w:cs="Times New Roman"/>
          <w:kern w:val="0"/>
          <w:sz w:val="30"/>
          <w:szCs w:val="30"/>
          <w:lang w:val="zh-CN"/>
        </w:rPr>
        <w:t>2023</w:t>
      </w:r>
      <w:r>
        <w:rPr>
          <w:rFonts w:hint="eastAsia" w:ascii="Times New Roman" w:hAnsi="Times New Roman" w:eastAsia="仿宋_GB2312" w:cs="仿宋_GB2312"/>
          <w:kern w:val="0"/>
          <w:sz w:val="30"/>
          <w:szCs w:val="30"/>
          <w:lang w:val="zh-CN"/>
        </w:rPr>
        <w:t>年度收入、支出决算总计</w:t>
      </w:r>
      <w:r>
        <w:rPr>
          <w:rFonts w:hint="eastAsia" w:ascii="Times New Roman" w:hAnsi="Times New Roman" w:eastAsia="华文中宋"/>
          <w:sz w:val="30"/>
          <w:szCs w:val="30"/>
        </w:rPr>
        <w:t>22,804,364.00</w:t>
      </w:r>
      <w:r>
        <w:rPr>
          <w:rFonts w:hint="eastAsia" w:ascii="Times New Roman" w:hAnsi="Times New Roman" w:eastAsia="仿宋_GB2312" w:cs="仿宋_GB2312"/>
          <w:kern w:val="0"/>
          <w:sz w:val="30"/>
          <w:szCs w:val="30"/>
        </w:rPr>
        <w:t>元，与</w:t>
      </w:r>
      <w:r>
        <w:rPr>
          <w:rFonts w:hint="eastAsia" w:ascii="Times New Roman" w:hAnsi="Times New Roman" w:eastAsia="仿宋_GB2312" w:cs="Times New Roman"/>
          <w:kern w:val="0"/>
          <w:sz w:val="30"/>
          <w:szCs w:val="30"/>
        </w:rPr>
        <w:t>2022</w:t>
      </w:r>
      <w:r>
        <w:rPr>
          <w:rFonts w:hint="eastAsia" w:ascii="Times New Roman" w:hAnsi="Times New Roman" w:eastAsia="仿宋_GB2312" w:cs="仿宋_GB2312"/>
          <w:kern w:val="0"/>
          <w:sz w:val="30"/>
          <w:szCs w:val="30"/>
        </w:rPr>
        <w:t>年度相比，收、支总计各</w:t>
      </w:r>
      <w:r>
        <w:rPr>
          <w:rFonts w:hint="eastAsia" w:ascii="Times New Roman" w:hAnsi="Times New Roman" w:eastAsia="仿宋_GB2312" w:cs="仿宋_GB2312"/>
          <w:sz w:val="30"/>
          <w:szCs w:val="30"/>
        </w:rPr>
        <w:t>减少1,331,238.59</w:t>
      </w:r>
      <w:r>
        <w:rPr>
          <w:rFonts w:hint="eastAsia" w:ascii="Times New Roman" w:hAnsi="Times New Roman" w:eastAsia="仿宋_GB2312" w:cs="仿宋_GB2312"/>
          <w:kern w:val="0"/>
          <w:sz w:val="30"/>
          <w:szCs w:val="30"/>
        </w:rPr>
        <w:t>元</w:t>
      </w:r>
      <w:r>
        <w:rPr>
          <w:rFonts w:hint="eastAsia" w:ascii="Times New Roman" w:hAnsi="Times New Roman" w:eastAsia="仿宋_GB2312" w:cs="仿宋_GB2312"/>
          <w:sz w:val="30"/>
          <w:szCs w:val="30"/>
        </w:rPr>
        <w:t>，下降5.52</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：人员退休，人员经费相对减少；日常公用经费预算编报更加合理、规范。</w:t>
      </w:r>
    </w:p>
    <w:p w14:paraId="5944535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2D3F36C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天津市航道工程处</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22,804,364.00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年度相比减少1,331,238.59元，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：人员退休，人员经费相对减少；日常公用经费预算编报更加合理、规范。</w:t>
      </w:r>
    </w:p>
    <w:p w14:paraId="6D2482BF">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20,390,785.63</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89.42</w:t>
      </w:r>
      <w:r>
        <w:rPr>
          <w:rFonts w:hint="eastAsia" w:ascii="Times New Roman" w:hAnsi="Times New Roman" w:eastAsia="宋体" w:cs="Times New Roman"/>
          <w:sz w:val="30"/>
          <w:szCs w:val="30"/>
        </w:rPr>
        <w:t>%；</w:t>
      </w:r>
    </w:p>
    <w:p w14:paraId="4A414373">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2,413,578.37元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10.58%。</w:t>
      </w:r>
    </w:p>
    <w:p w14:paraId="07A8F72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781DB13C">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天津市航道工程处</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年度本年支出合计22,804,364.00元，与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年度相比减少1,331,238.59元，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人员退休，人员经</w:t>
      </w:r>
      <w:bookmarkStart w:id="0" w:name="_GoBack"/>
      <w:bookmarkEnd w:id="0"/>
      <w:r>
        <w:rPr>
          <w:rFonts w:hint="eastAsia" w:ascii="Times New Roman" w:hAnsi="Times New Roman" w:eastAsia="仿宋_GB2312" w:cs="仿宋_GB2312"/>
          <w:kern w:val="0"/>
          <w:sz w:val="30"/>
          <w:szCs w:val="30"/>
        </w:rPr>
        <w:t>费相对减少；日常公用经费预算编报更加合理、规范。</w:t>
      </w:r>
    </w:p>
    <w:p w14:paraId="26253B7E">
      <w:pPr>
        <w:autoSpaceDE w:val="0"/>
        <w:autoSpaceDN w:val="0"/>
        <w:adjustRightInd w:val="0"/>
        <w:spacing w:line="580" w:lineRule="exact"/>
        <w:ind w:firstLine="600"/>
        <w:jc w:val="left"/>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22,804,364.00元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占100.0%</w:t>
      </w:r>
      <w:r>
        <w:rPr>
          <w:rFonts w:hint="eastAsia" w:ascii="Times New Roman" w:hAnsi="Times New Roman" w:eastAsia="仿宋_GB2312" w:cs="仿宋_GB2312"/>
          <w:sz w:val="30"/>
          <w:szCs w:val="30"/>
          <w:lang w:eastAsia="zh-CN"/>
        </w:rPr>
        <w:t>。</w:t>
      </w:r>
    </w:p>
    <w:p w14:paraId="5CD31E2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2A389BAE">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天津市航道工程处</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20,390,785.63</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年度相比，财政拨款收、支总计各减少339,477.37元，下降1.64</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人员退休，人员经费相对减少；日常公用经费预算编报更加合理、规范。</w:t>
      </w:r>
    </w:p>
    <w:p w14:paraId="58B9300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5375A516">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634B1D93">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天津市航道工程处2023年度部门决算一般公共预算财政拨款支出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计20,390,785.63元，占本年支出合计的89.42%，与2022年度相比，一般公共预算财政拨款支出减少339,477.37元，下降1.64%，</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：人员退休，人员经费相对减少；日常公用经费预算编报更加合理、规范。</w:t>
      </w:r>
    </w:p>
    <w:p w14:paraId="53BA6F69">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3250F546">
      <w:pPr>
        <w:autoSpaceDE w:val="0"/>
        <w:autoSpaceDN w:val="0"/>
        <w:adjustRightInd w:val="0"/>
        <w:spacing w:line="600" w:lineRule="exact"/>
        <w:ind w:firstLine="720"/>
        <w:jc w:val="left"/>
        <w:rPr>
          <w:rFonts w:hint="default"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20,390,785.63</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br w:type="textWrapping"/>
      </w:r>
      <w:r>
        <w:rPr>
          <w:rFonts w:hint="eastAsia" w:ascii="Times New Roman" w:hAnsi="Times New Roman" w:eastAsia="仿宋_GB2312" w:cs="仿宋_GB2312"/>
          <w:sz w:val="30"/>
          <w:szCs w:val="30"/>
        </w:rPr>
        <w:t>社会保障和就业支出3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543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000元，占17.38%；卫生健康支出1</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874</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000元，占9.19%；交通运输支出14</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973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785.63元，占73.43%</w:t>
      </w:r>
      <w:r>
        <w:rPr>
          <w:rFonts w:hint="eastAsia" w:ascii="Times New Roman" w:hAnsi="Times New Roman" w:eastAsia="仿宋_GB2312" w:cs="仿宋_GB2312"/>
          <w:sz w:val="30"/>
          <w:szCs w:val="30"/>
          <w:lang w:eastAsia="zh-CN"/>
        </w:rPr>
        <w:t>。</w:t>
      </w:r>
    </w:p>
    <w:p w14:paraId="66DE4802">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787D5CC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20,392,000.00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20,390,785.63</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99.99%</w:t>
      </w:r>
      <w:r>
        <w:rPr>
          <w:rFonts w:hint="eastAsia" w:ascii="Times New Roman" w:hAnsi="Times New Roman" w:eastAsia="仿宋_GB2312" w:cs="仿宋_GB2312"/>
          <w:kern w:val="0"/>
          <w:sz w:val="30"/>
          <w:szCs w:val="30"/>
        </w:rPr>
        <w:t>。其中：</w:t>
      </w:r>
    </w:p>
    <w:p w14:paraId="2B51D73E">
      <w:pPr>
        <w:numPr>
          <w:ilvl w:val="0"/>
          <w:numId w:val="0"/>
        </w:numPr>
        <w:autoSpaceDE w:val="0"/>
        <w:autoSpaceDN w:val="0"/>
        <w:adjustRightInd w:val="0"/>
        <w:spacing w:line="600" w:lineRule="exact"/>
        <w:ind w:firstLine="720" w:firstLineChars="0"/>
        <w:jc w:val="left"/>
        <w:rPr>
          <w:rFonts w:hint="eastAsia"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val="en-US" w:eastAsia="zh-CN"/>
        </w:rPr>
        <w:t>1、</w:t>
      </w:r>
      <w:r>
        <w:rPr>
          <w:rFonts w:hint="eastAsia" w:ascii="Times New Roman" w:hAnsi="Times New Roman" w:eastAsia="仿宋_GB2312" w:cs="仿宋_GB2312"/>
          <w:sz w:val="30"/>
          <w:szCs w:val="30"/>
          <w:highlight w:val="none"/>
        </w:rPr>
        <w:t>社会保障和就业支出</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en-US" w:eastAsia="zh-CN"/>
        </w:rPr>
        <w:t>类</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en-US" w:eastAsia="zh-CN"/>
        </w:rPr>
        <w:t>行政事业单位养老支出（款）机关事业单位基本养老保险缴费支出（项）</w:t>
      </w:r>
      <w:r>
        <w:rPr>
          <w:rFonts w:hint="eastAsia" w:ascii="Times New Roman" w:hAnsi="Times New Roman" w:eastAsia="仿宋_GB2312" w:cs="仿宋_GB2312"/>
          <w:sz w:val="30"/>
          <w:szCs w:val="30"/>
          <w:highlight w:val="none"/>
        </w:rPr>
        <w:t>年初预算为2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362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000元，支出决算为2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362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000元，完成年初预算的100%，决算数与年初预算数相等，主要原因是预算、决算编报更加合理、规范。</w:t>
      </w:r>
    </w:p>
    <w:p w14:paraId="7E432698">
      <w:pPr>
        <w:numPr>
          <w:ilvl w:val="0"/>
          <w:numId w:val="0"/>
        </w:numPr>
        <w:autoSpaceDE w:val="0"/>
        <w:autoSpaceDN w:val="0"/>
        <w:adjustRightInd w:val="0"/>
        <w:spacing w:line="600" w:lineRule="exact"/>
        <w:ind w:firstLine="720" w:firstLineChars="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en-US" w:eastAsia="zh-CN"/>
        </w:rPr>
        <w:t>2、</w:t>
      </w:r>
      <w:r>
        <w:rPr>
          <w:rFonts w:hint="eastAsia" w:ascii="Times New Roman" w:hAnsi="Times New Roman" w:eastAsia="仿宋_GB2312" w:cs="仿宋_GB2312"/>
          <w:sz w:val="30"/>
          <w:szCs w:val="30"/>
          <w:highlight w:val="none"/>
        </w:rPr>
        <w:t>社会保障和就业支出</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en-US" w:eastAsia="zh-CN"/>
        </w:rPr>
        <w:t>类</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en-US" w:eastAsia="zh-CN"/>
        </w:rPr>
        <w:t>行政事业单位养老支出（款）</w:t>
      </w:r>
      <w:r>
        <w:rPr>
          <w:rFonts w:hint="eastAsia" w:ascii="Times New Roman" w:hAnsi="Times New Roman" w:eastAsia="仿宋_GB2312" w:cs="仿宋_GB2312"/>
          <w:sz w:val="30"/>
          <w:szCs w:val="30"/>
          <w:highlight w:val="none"/>
        </w:rPr>
        <w:t>机关事业单位职业年金缴费支出</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en-US" w:eastAsia="zh-CN"/>
        </w:rPr>
        <w:t>项</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en-US" w:eastAsia="zh-CN"/>
        </w:rPr>
        <w:t>支出</w:t>
      </w:r>
      <w:r>
        <w:rPr>
          <w:rFonts w:hint="eastAsia" w:ascii="Times New Roman" w:hAnsi="Times New Roman" w:eastAsia="仿宋_GB2312" w:cs="仿宋_GB2312"/>
          <w:sz w:val="30"/>
          <w:szCs w:val="30"/>
          <w:highlight w:val="none"/>
        </w:rPr>
        <w:t>年初预算为1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181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000元，支出决算为1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181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000元，完成年初预算的100%，决算数与年初预算数相等，主要原因是预算、决算编报更加合理、规范。</w:t>
      </w:r>
      <w:r>
        <w:rPr>
          <w:rFonts w:hint="eastAsia" w:ascii="Times New Roman" w:hAnsi="Times New Roman" w:eastAsia="仿宋_GB2312" w:cs="仿宋_GB2312"/>
          <w:sz w:val="30"/>
          <w:szCs w:val="30"/>
          <w:highlight w:val="none"/>
        </w:rPr>
        <w:br w:type="textWrapping"/>
      </w:r>
      <w:r>
        <w:rPr>
          <w:rFonts w:hint="eastAsia" w:ascii="Times New Roman" w:hAnsi="Times New Roman" w:eastAsia="仿宋_GB2312" w:cs="仿宋_GB2312"/>
          <w:sz w:val="30"/>
          <w:szCs w:val="30"/>
          <w:highlight w:val="none"/>
          <w:lang w:val="en-US" w:eastAsia="zh-CN"/>
        </w:rPr>
        <w:t xml:space="preserve">    3</w:t>
      </w:r>
      <w:r>
        <w:rPr>
          <w:rFonts w:hint="eastAsia" w:ascii="Times New Roman" w:hAnsi="Times New Roman" w:eastAsia="仿宋_GB2312" w:cs="仿宋_GB2312"/>
          <w:sz w:val="30"/>
          <w:szCs w:val="30"/>
          <w:highlight w:val="none"/>
        </w:rPr>
        <w:t>、卫生健康支出</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en-US" w:eastAsia="zh-CN"/>
        </w:rPr>
        <w:t>类</w:t>
      </w:r>
      <w:r>
        <w:rPr>
          <w:rFonts w:hint="eastAsia" w:ascii="Times New Roman" w:hAnsi="Times New Roman" w:eastAsia="仿宋_GB2312" w:cs="仿宋_GB2312"/>
          <w:sz w:val="30"/>
          <w:szCs w:val="30"/>
          <w:highlight w:val="none"/>
          <w:lang w:eastAsia="zh-CN"/>
        </w:rPr>
        <w:t>）行政事业单位医疗（</w:t>
      </w:r>
      <w:r>
        <w:rPr>
          <w:rFonts w:hint="eastAsia" w:ascii="Times New Roman" w:hAnsi="Times New Roman" w:eastAsia="仿宋_GB2312" w:cs="仿宋_GB2312"/>
          <w:sz w:val="30"/>
          <w:szCs w:val="30"/>
          <w:highlight w:val="none"/>
          <w:lang w:val="en-US" w:eastAsia="zh-CN"/>
        </w:rPr>
        <w:t>项</w:t>
      </w:r>
      <w:r>
        <w:rPr>
          <w:rFonts w:hint="eastAsia" w:ascii="Times New Roman" w:hAnsi="Times New Roman" w:eastAsia="仿宋_GB2312" w:cs="仿宋_GB2312"/>
          <w:sz w:val="30"/>
          <w:szCs w:val="30"/>
          <w:highlight w:val="none"/>
          <w:lang w:eastAsia="zh-CN"/>
        </w:rPr>
        <w:t>）事业单位医疗（</w:t>
      </w:r>
      <w:r>
        <w:rPr>
          <w:rFonts w:hint="eastAsia" w:ascii="Times New Roman" w:hAnsi="Times New Roman" w:eastAsia="仿宋_GB2312" w:cs="仿宋_GB2312"/>
          <w:sz w:val="30"/>
          <w:szCs w:val="30"/>
          <w:highlight w:val="none"/>
          <w:lang w:val="en-US" w:eastAsia="zh-CN"/>
        </w:rPr>
        <w:t>类</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rPr>
        <w:t>年初预算为775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000元，支出决算为775,000元，完成预算的100%，决算数与年初预算数相等，主要原因是预算、决算编报更加合理、规范</w:t>
      </w:r>
      <w:r>
        <w:rPr>
          <w:rFonts w:hint="eastAsia" w:ascii="Times New Roman" w:hAnsi="Times New Roman" w:eastAsia="仿宋_GB2312" w:cs="仿宋_GB2312"/>
          <w:sz w:val="30"/>
          <w:szCs w:val="30"/>
          <w:highlight w:val="none"/>
          <w:lang w:eastAsia="zh-CN"/>
        </w:rPr>
        <w:t>。</w:t>
      </w:r>
    </w:p>
    <w:p w14:paraId="0EF42AE0">
      <w:pPr>
        <w:numPr>
          <w:ilvl w:val="0"/>
          <w:numId w:val="0"/>
        </w:numPr>
        <w:autoSpaceDE w:val="0"/>
        <w:autoSpaceDN w:val="0"/>
        <w:adjustRightInd w:val="0"/>
        <w:spacing w:line="600" w:lineRule="exact"/>
        <w:ind w:firstLine="720" w:firstLineChars="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xml:space="preserve"> </w:t>
      </w:r>
      <w:r>
        <w:rPr>
          <w:rFonts w:hint="eastAsia" w:ascii="Times New Roman" w:hAnsi="Times New Roman" w:eastAsia="仿宋_GB2312" w:cs="仿宋_GB2312"/>
          <w:sz w:val="30"/>
          <w:szCs w:val="30"/>
          <w:highlight w:val="none"/>
          <w:lang w:val="en-US" w:eastAsia="zh-CN"/>
        </w:rPr>
        <w:t>4</w:t>
      </w:r>
      <w:r>
        <w:rPr>
          <w:rFonts w:hint="eastAsia" w:ascii="Times New Roman" w:hAnsi="Times New Roman" w:eastAsia="仿宋_GB2312" w:cs="仿宋_GB2312"/>
          <w:sz w:val="30"/>
          <w:szCs w:val="30"/>
          <w:highlight w:val="none"/>
          <w:lang w:eastAsia="zh-CN"/>
        </w:rPr>
        <w:t>、卫生健康支出（类）行政事业单位医疗（项）其他行政事业单位医疗（类）年初预算为</w:t>
      </w:r>
      <w:r>
        <w:rPr>
          <w:rFonts w:hint="eastAsia" w:ascii="Times New Roman" w:hAnsi="Times New Roman" w:eastAsia="仿宋_GB2312" w:cs="仿宋_GB2312"/>
          <w:sz w:val="30"/>
          <w:szCs w:val="30"/>
          <w:highlight w:val="none"/>
        </w:rPr>
        <w:t>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099</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000</w:t>
      </w:r>
      <w:r>
        <w:rPr>
          <w:rFonts w:hint="eastAsia" w:ascii="Times New Roman" w:hAnsi="Times New Roman" w:eastAsia="仿宋_GB2312" w:cs="仿宋_GB2312"/>
          <w:sz w:val="30"/>
          <w:szCs w:val="30"/>
          <w:highlight w:val="none"/>
          <w:lang w:eastAsia="zh-CN"/>
        </w:rPr>
        <w:t>元，支出决算为</w:t>
      </w:r>
      <w:r>
        <w:rPr>
          <w:rFonts w:hint="eastAsia" w:ascii="Times New Roman" w:hAnsi="Times New Roman" w:eastAsia="仿宋_GB2312" w:cs="仿宋_GB2312"/>
          <w:sz w:val="30"/>
          <w:szCs w:val="30"/>
          <w:highlight w:val="none"/>
        </w:rPr>
        <w:t>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099</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000</w:t>
      </w:r>
      <w:r>
        <w:rPr>
          <w:rFonts w:hint="eastAsia" w:ascii="Times New Roman" w:hAnsi="Times New Roman" w:eastAsia="仿宋_GB2312" w:cs="仿宋_GB2312"/>
          <w:sz w:val="30"/>
          <w:szCs w:val="30"/>
          <w:highlight w:val="none"/>
          <w:lang w:eastAsia="zh-CN"/>
        </w:rPr>
        <w:t>元，完成预算的100%，决算数与年初预算数相等，主要原因是预算、决算编报更加合理、规范。</w:t>
      </w:r>
    </w:p>
    <w:p w14:paraId="7C5E09C6">
      <w:pPr>
        <w:numPr>
          <w:ilvl w:val="0"/>
          <w:numId w:val="0"/>
        </w:numPr>
        <w:autoSpaceDE w:val="0"/>
        <w:autoSpaceDN w:val="0"/>
        <w:adjustRightInd w:val="0"/>
        <w:spacing w:line="600" w:lineRule="exact"/>
        <w:ind w:firstLine="720" w:firstLineChars="0"/>
        <w:jc w:val="left"/>
        <w:rPr>
          <w:rFonts w:hint="eastAsia" w:ascii="Times New Roman" w:hAnsi="Times New Roman" w:eastAsia="仿宋_GB2312" w:cs="黑体"/>
          <w:b/>
          <w:bCs/>
          <w:kern w:val="0"/>
          <w:sz w:val="30"/>
          <w:szCs w:val="30"/>
          <w:highlight w:val="none"/>
          <w:lang w:eastAsia="zh-CN"/>
        </w:rPr>
      </w:pPr>
      <w:r>
        <w:rPr>
          <w:rFonts w:hint="eastAsia" w:ascii="Times New Roman" w:hAnsi="Times New Roman" w:eastAsia="仿宋_GB2312" w:cs="仿宋_GB2312"/>
          <w:sz w:val="30"/>
          <w:szCs w:val="30"/>
          <w:highlight w:val="none"/>
          <w:lang w:val="en-US" w:eastAsia="zh-CN"/>
        </w:rPr>
        <w:t>5</w:t>
      </w:r>
      <w:r>
        <w:rPr>
          <w:rFonts w:hint="eastAsia" w:ascii="Times New Roman" w:hAnsi="Times New Roman" w:eastAsia="仿宋_GB2312" w:cs="仿宋_GB2312"/>
          <w:sz w:val="30"/>
          <w:szCs w:val="30"/>
          <w:highlight w:val="none"/>
        </w:rPr>
        <w:t>、交通运输支出</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en-US" w:eastAsia="zh-CN"/>
        </w:rPr>
        <w:t>类</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en-US" w:eastAsia="zh-CN"/>
        </w:rPr>
        <w:t>公路水路运输（款）航道维护（项）</w:t>
      </w:r>
      <w:r>
        <w:rPr>
          <w:rFonts w:hint="eastAsia" w:ascii="Times New Roman" w:hAnsi="Times New Roman" w:eastAsia="仿宋_GB2312" w:cs="仿宋_GB2312"/>
          <w:sz w:val="30"/>
          <w:szCs w:val="30"/>
          <w:highlight w:val="none"/>
        </w:rPr>
        <w:t>年初预算为14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975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000元，支出决算为14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973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rPr>
        <w:t>785.63元，完成预算的99.99%，决算数小于年初预算数，主要原因是压缩</w:t>
      </w:r>
      <w:r>
        <w:rPr>
          <w:rFonts w:hint="eastAsia" w:ascii="Times New Roman" w:hAnsi="Times New Roman" w:eastAsia="仿宋_GB2312" w:cs="仿宋_GB2312"/>
          <w:sz w:val="30"/>
          <w:szCs w:val="30"/>
          <w:highlight w:val="none"/>
          <w:lang w:eastAsia="zh-CN"/>
        </w:rPr>
        <w:t>公</w:t>
      </w:r>
      <w:r>
        <w:rPr>
          <w:rFonts w:hint="eastAsia" w:ascii="Times New Roman" w:hAnsi="Times New Roman" w:eastAsia="仿宋_GB2312" w:cs="仿宋_GB2312"/>
          <w:sz w:val="30"/>
          <w:szCs w:val="30"/>
          <w:highlight w:val="none"/>
        </w:rPr>
        <w:t>用经费开支</w:t>
      </w:r>
      <w:r>
        <w:rPr>
          <w:rFonts w:hint="eastAsia" w:ascii="Times New Roman" w:hAnsi="Times New Roman" w:eastAsia="仿宋_GB2312" w:cs="仿宋_GB2312"/>
          <w:sz w:val="30"/>
          <w:szCs w:val="30"/>
          <w:highlight w:val="none"/>
          <w:lang w:eastAsia="zh-CN"/>
        </w:rPr>
        <w:t>。</w:t>
      </w:r>
    </w:p>
    <w:p w14:paraId="3EA9E0F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16279309">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天津市航道工程处</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20,390,785.63</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年度相比减少339,477.37元，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人员退休，人员经费相对减少；日常公用经费预算编报更加合理、规范。</w:t>
      </w:r>
      <w:r>
        <w:rPr>
          <w:rFonts w:hint="eastAsia" w:ascii="Times New Roman" w:hAnsi="Times New Roman" w:eastAsia="仿宋_GB2312" w:cs="仿宋_GB2312"/>
          <w:kern w:val="0"/>
          <w:sz w:val="30"/>
          <w:szCs w:val="30"/>
        </w:rPr>
        <w:t>其中：</w:t>
      </w:r>
    </w:p>
    <w:p w14:paraId="0740820F">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19,102,000.00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基本工资、津贴补贴、绩效工资、机关事业单位基本养老保险缴费、职业年金缴费、职工基本医疗保险缴费、其他社会保障缴费、退休费、生活补助。</w:t>
      </w:r>
    </w:p>
    <w:p w14:paraId="50CA3F5B">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1,288,785.63</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主要包括办公费、水费、电费、邮电费、取暖费、维修(护)费、租赁费、专用材料费、工会经费、福利费、公务用车运行维护费、专用设备购置。</w:t>
      </w:r>
    </w:p>
    <w:p w14:paraId="79ED71F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2BE55630">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天津市航道工程处2023年度无政府性基金预算财政拨款收入、支出和结转结余。</w:t>
      </w:r>
      <w:r>
        <w:rPr>
          <w:rFonts w:hint="eastAsia" w:ascii="Times New Roman" w:hAnsi="Times New Roman" w:eastAsia="仿宋_GB2312" w:cs="仿宋_GB2312"/>
          <w:sz w:val="30"/>
          <w:szCs w:val="30"/>
        </w:rPr>
        <w:tab/>
      </w:r>
    </w:p>
    <w:p w14:paraId="6B01AAD3">
      <w:pPr>
        <w:numPr>
          <w:ilvl w:val="0"/>
          <w:numId w:val="1"/>
        </w:numPr>
        <w:autoSpaceDE w:val="0"/>
        <w:autoSpaceDN w:val="0"/>
        <w:adjustRightInd w:val="0"/>
        <w:spacing w:line="600" w:lineRule="exact"/>
        <w:ind w:firstLine="600"/>
        <w:jc w:val="left"/>
        <w:rPr>
          <w:rFonts w:hint="eastAsia" w:ascii="Times New Roman" w:hAnsi="Times New Roman" w:eastAsia="黑体" w:cs="黑体"/>
          <w:b/>
          <w:bCs/>
          <w:kern w:val="0"/>
          <w:sz w:val="30"/>
          <w:szCs w:val="30"/>
        </w:rPr>
      </w:pPr>
      <w:r>
        <w:rPr>
          <w:rFonts w:hint="eastAsia" w:ascii="Times New Roman" w:hAnsi="Times New Roman" w:eastAsia="黑体" w:cs="黑体"/>
          <w:b/>
          <w:bCs/>
          <w:kern w:val="0"/>
          <w:sz w:val="30"/>
          <w:szCs w:val="30"/>
        </w:rPr>
        <w:t>国有资本经营预算财政拨款收支决算情况说明</w:t>
      </w:r>
    </w:p>
    <w:p w14:paraId="506FF197">
      <w:pPr>
        <w:numPr>
          <w:ilvl w:val="0"/>
          <w:numId w:val="0"/>
        </w:numPr>
        <w:autoSpaceDE w:val="0"/>
        <w:autoSpaceDN w:val="0"/>
        <w:adjustRightInd w:val="0"/>
        <w:spacing w:line="600" w:lineRule="exact"/>
        <w:ind w:firstLine="600" w:firstLineChars="2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天津市航道工程处2023年度无国有资本经营预算财政拨款收入、支出和结转结余。</w:t>
      </w:r>
    </w:p>
    <w:p w14:paraId="7194024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562912A5">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00BD39A8">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31,000.00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31,000.00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，完成预算的100.0</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highlight w:val="none"/>
          <w:lang w:eastAsia="zh-CN"/>
        </w:rPr>
        <w:t>合理安排</w:t>
      </w:r>
      <w:r>
        <w:rPr>
          <w:rFonts w:hint="eastAsia" w:ascii="Times New Roman" w:hAnsi="Times New Roman" w:eastAsia="仿宋_GB2312" w:cs="仿宋_GB2312"/>
          <w:kern w:val="0"/>
          <w:sz w:val="30"/>
          <w:szCs w:val="30"/>
          <w:highlight w:val="none"/>
        </w:rPr>
        <w:t>公务用车运行维护费</w:t>
      </w:r>
      <w:r>
        <w:rPr>
          <w:rFonts w:hint="eastAsia" w:ascii="Times New Roman" w:hAnsi="Times New Roman" w:eastAsia="仿宋_GB2312" w:cs="仿宋_GB2312"/>
          <w:sz w:val="30"/>
          <w:szCs w:val="30"/>
          <w:highlight w:val="none"/>
          <w:lang w:eastAsia="zh-CN"/>
        </w:rPr>
        <w:t>，严格按照预算执行</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highlight w:val="none"/>
          <w:lang w:eastAsia="zh-CN"/>
        </w:rPr>
        <w:t>合理安排</w:t>
      </w:r>
      <w:r>
        <w:rPr>
          <w:rFonts w:hint="eastAsia" w:ascii="Times New Roman" w:hAnsi="Times New Roman" w:eastAsia="仿宋_GB2312" w:cs="仿宋_GB2312"/>
          <w:kern w:val="0"/>
          <w:sz w:val="30"/>
          <w:szCs w:val="30"/>
          <w:highlight w:val="none"/>
        </w:rPr>
        <w:t>公务用车运行维护费</w:t>
      </w:r>
      <w:r>
        <w:rPr>
          <w:rFonts w:hint="eastAsia" w:ascii="Times New Roman" w:hAnsi="Times New Roman" w:eastAsia="仿宋_GB2312" w:cs="仿宋_GB2312"/>
          <w:sz w:val="30"/>
          <w:szCs w:val="30"/>
          <w:highlight w:val="none"/>
          <w:lang w:eastAsia="zh-CN"/>
        </w:rPr>
        <w:t>，严格按照预算执行</w:t>
      </w:r>
      <w:r>
        <w:rPr>
          <w:rFonts w:hint="eastAsia" w:ascii="Times New Roman" w:hAnsi="Times New Roman" w:eastAsia="仿宋_GB2312" w:cs="仿宋_GB2312"/>
          <w:sz w:val="30"/>
          <w:szCs w:val="30"/>
        </w:rPr>
        <w:t>。</w:t>
      </w:r>
    </w:p>
    <w:p w14:paraId="7659A337">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67D7763B">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highlight w:val="none"/>
        </w:rPr>
        <w:t>持平</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rPr>
        <w:t>持</w:t>
      </w:r>
      <w:r>
        <w:rPr>
          <w:rFonts w:hint="eastAsia" w:ascii="Times New Roman" w:hAnsi="Times New Roman" w:eastAsia="仿宋_GB2312" w:cs="仿宋_GB2312"/>
          <w:sz w:val="30"/>
          <w:szCs w:val="30"/>
          <w:highlight w:val="none"/>
          <w:lang w:eastAsia="zh-CN"/>
        </w:rPr>
        <w:t>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val="en-US" w:eastAsia="zh-CN"/>
        </w:rPr>
        <w:t>本年度</w:t>
      </w:r>
      <w:r>
        <w:rPr>
          <w:rFonts w:hint="eastAsia" w:ascii="Times New Roman" w:hAnsi="Times New Roman" w:eastAsia="仿宋_GB2312" w:cs="仿宋_GB2312"/>
          <w:sz w:val="30"/>
          <w:szCs w:val="30"/>
          <w:highlight w:val="none"/>
        </w:rPr>
        <w:t>未</w:t>
      </w:r>
      <w:r>
        <w:rPr>
          <w:rFonts w:hint="eastAsia" w:ascii="Times New Roman" w:hAnsi="Times New Roman" w:eastAsia="仿宋_GB2312" w:cs="仿宋_GB2312"/>
          <w:sz w:val="30"/>
          <w:szCs w:val="30"/>
          <w:highlight w:val="none"/>
          <w:lang w:val="en-US" w:eastAsia="zh-CN"/>
        </w:rPr>
        <w:t>用财政拨款经费列支</w:t>
      </w:r>
      <w:r>
        <w:rPr>
          <w:rFonts w:hint="eastAsia" w:ascii="Times New Roman" w:hAnsi="Times New Roman" w:eastAsia="仿宋_GB2312" w:cs="仿宋_GB2312"/>
          <w:sz w:val="30"/>
          <w:szCs w:val="30"/>
          <w:highlight w:val="none"/>
        </w:rPr>
        <w:t>因公出国（境）经费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val="en-US" w:eastAsia="zh-CN"/>
        </w:rPr>
        <w:t>本年度</w:t>
      </w:r>
      <w:r>
        <w:rPr>
          <w:rFonts w:hint="eastAsia" w:ascii="Times New Roman" w:hAnsi="Times New Roman" w:eastAsia="仿宋_GB2312" w:cs="仿宋_GB2312"/>
          <w:sz w:val="30"/>
          <w:szCs w:val="30"/>
          <w:highlight w:val="none"/>
        </w:rPr>
        <w:t>未</w:t>
      </w:r>
      <w:r>
        <w:rPr>
          <w:rFonts w:hint="eastAsia" w:ascii="Times New Roman" w:hAnsi="Times New Roman" w:eastAsia="仿宋_GB2312" w:cs="仿宋_GB2312"/>
          <w:sz w:val="30"/>
          <w:szCs w:val="30"/>
          <w:highlight w:val="none"/>
          <w:lang w:val="en-US" w:eastAsia="zh-CN"/>
        </w:rPr>
        <w:t>用财政拨款经费列支</w:t>
      </w:r>
      <w:r>
        <w:rPr>
          <w:rFonts w:hint="eastAsia" w:ascii="Times New Roman" w:hAnsi="Times New Roman" w:eastAsia="仿宋_GB2312" w:cs="仿宋_GB2312"/>
          <w:sz w:val="30"/>
          <w:szCs w:val="30"/>
          <w:highlight w:val="none"/>
        </w:rPr>
        <w:t>因公出国（境）经费。</w:t>
      </w:r>
    </w:p>
    <w:p w14:paraId="4FDFA78C">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rPr>
        <w:t>3年本单位组织的出国团组</w:t>
      </w:r>
      <w:r>
        <w:rPr>
          <w:rFonts w:hint="eastAsia" w:ascii="Times New Roman" w:hAnsi="Times New Roman" w:eastAsia="仿宋_GB2312" w:cs="Times New Roman"/>
          <w:kern w:val="0"/>
          <w:sz w:val="30"/>
          <w:szCs w:val="30"/>
          <w:highlight w:val="none"/>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rPr>
        <w:t>0</w:t>
      </w:r>
      <w:r>
        <w:rPr>
          <w:rFonts w:hint="eastAsia" w:ascii="Times New Roman" w:hAnsi="Times New Roman" w:eastAsia="仿宋_GB2312" w:cs="仿宋_GB2312"/>
          <w:kern w:val="0"/>
          <w:sz w:val="30"/>
          <w:szCs w:val="30"/>
          <w:highlight w:val="none"/>
        </w:rPr>
        <w:t>人次。</w:t>
      </w:r>
    </w:p>
    <w:p w14:paraId="522B9833">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rPr>
        <w:t>31,000.00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rPr>
        <w:t>31,000.00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rPr>
        <w:t>持平</w:t>
      </w:r>
      <w:r>
        <w:rPr>
          <w:rFonts w:hint="eastAsia" w:ascii="Times New Roman" w:hAnsi="Times New Roman" w:eastAsia="仿宋_GB2312" w:cs="仿宋_GB2312"/>
          <w:kern w:val="0"/>
          <w:sz w:val="30"/>
          <w:szCs w:val="30"/>
          <w:highlight w:val="none"/>
        </w:rPr>
        <w:t>，完成预算的100.0</w:t>
      </w:r>
      <w:r>
        <w:rPr>
          <w:rFonts w:hint="eastAsia" w:ascii="Times New Roman" w:hAnsi="Times New Roman" w:eastAsia="仿宋_GB2312" w:cs="Times New Roman"/>
          <w:sz w:val="30"/>
          <w:szCs w:val="30"/>
          <w:highlight w:val="none"/>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合理安排</w:t>
      </w:r>
      <w:r>
        <w:rPr>
          <w:rFonts w:hint="eastAsia" w:ascii="Times New Roman" w:hAnsi="Times New Roman" w:eastAsia="仿宋_GB2312" w:cs="仿宋_GB2312"/>
          <w:kern w:val="0"/>
          <w:sz w:val="30"/>
          <w:szCs w:val="30"/>
          <w:highlight w:val="none"/>
        </w:rPr>
        <w:t>公务用车运行维护费</w:t>
      </w:r>
      <w:r>
        <w:rPr>
          <w:rFonts w:hint="eastAsia" w:ascii="Times New Roman" w:hAnsi="Times New Roman" w:eastAsia="仿宋_GB2312" w:cs="仿宋_GB2312"/>
          <w:sz w:val="30"/>
          <w:szCs w:val="30"/>
          <w:highlight w:val="none"/>
          <w:lang w:eastAsia="zh-CN"/>
        </w:rPr>
        <w:t>，严格按照预算执行；</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合理安排</w:t>
      </w:r>
      <w:r>
        <w:rPr>
          <w:rFonts w:hint="eastAsia" w:ascii="Times New Roman" w:hAnsi="Times New Roman" w:eastAsia="仿宋_GB2312" w:cs="仿宋_GB2312"/>
          <w:kern w:val="0"/>
          <w:sz w:val="30"/>
          <w:szCs w:val="30"/>
          <w:highlight w:val="none"/>
        </w:rPr>
        <w:t>公务用车运行维护费</w:t>
      </w:r>
      <w:r>
        <w:rPr>
          <w:rFonts w:hint="eastAsia" w:ascii="Times New Roman" w:hAnsi="Times New Roman" w:eastAsia="仿宋_GB2312" w:cs="仿宋_GB2312"/>
          <w:sz w:val="30"/>
          <w:szCs w:val="30"/>
          <w:highlight w:val="none"/>
          <w:lang w:eastAsia="zh-CN"/>
        </w:rPr>
        <w:t>，严格按照预算执行。</w:t>
      </w:r>
      <w:r>
        <w:rPr>
          <w:rFonts w:hint="eastAsia" w:ascii="Times New Roman" w:hAnsi="Times New Roman" w:eastAsia="仿宋_GB2312" w:cs="仿宋_GB2312"/>
          <w:kern w:val="0"/>
          <w:sz w:val="30"/>
          <w:szCs w:val="30"/>
          <w:highlight w:val="none"/>
        </w:rPr>
        <w:t>其中：</w:t>
      </w:r>
    </w:p>
    <w:p w14:paraId="4D925936">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rPr>
        <w:t>31,000.00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rPr>
        <w:t>31,000.00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rPr>
        <w:t>持平</w:t>
      </w:r>
      <w:r>
        <w:rPr>
          <w:rFonts w:hint="eastAsia" w:ascii="Times New Roman" w:hAnsi="Times New Roman" w:eastAsia="仿宋_GB2312" w:cs="仿宋_GB2312"/>
          <w:kern w:val="0"/>
          <w:sz w:val="30"/>
          <w:szCs w:val="30"/>
          <w:highlight w:val="none"/>
        </w:rPr>
        <w:t>，完成预算的100.0</w:t>
      </w:r>
      <w:r>
        <w:rPr>
          <w:rFonts w:hint="eastAsia" w:ascii="Times New Roman" w:hAnsi="Times New Roman" w:eastAsia="仿宋_GB2312" w:cs="Times New Roman"/>
          <w:sz w:val="30"/>
          <w:szCs w:val="30"/>
          <w:highlight w:val="none"/>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合理安排</w:t>
      </w:r>
      <w:r>
        <w:rPr>
          <w:rFonts w:hint="eastAsia" w:ascii="Times New Roman" w:hAnsi="Times New Roman" w:eastAsia="仿宋_GB2312" w:cs="仿宋_GB2312"/>
          <w:kern w:val="0"/>
          <w:sz w:val="30"/>
          <w:szCs w:val="30"/>
          <w:highlight w:val="none"/>
        </w:rPr>
        <w:t>公务用车运行维护费</w:t>
      </w:r>
      <w:r>
        <w:rPr>
          <w:rFonts w:hint="eastAsia" w:ascii="Times New Roman" w:hAnsi="Times New Roman" w:eastAsia="仿宋_GB2312" w:cs="仿宋_GB2312"/>
          <w:sz w:val="30"/>
          <w:szCs w:val="30"/>
          <w:highlight w:val="none"/>
          <w:lang w:eastAsia="zh-CN"/>
        </w:rPr>
        <w:t>，严格按照预算执行</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合理安排</w:t>
      </w:r>
      <w:r>
        <w:rPr>
          <w:rFonts w:hint="eastAsia" w:ascii="Times New Roman" w:hAnsi="Times New Roman" w:eastAsia="仿宋_GB2312" w:cs="仿宋_GB2312"/>
          <w:kern w:val="0"/>
          <w:sz w:val="30"/>
          <w:szCs w:val="30"/>
          <w:highlight w:val="none"/>
        </w:rPr>
        <w:t>公务用车运行维护费</w:t>
      </w:r>
      <w:r>
        <w:rPr>
          <w:rFonts w:hint="eastAsia" w:ascii="Times New Roman" w:hAnsi="Times New Roman" w:eastAsia="仿宋_GB2312" w:cs="仿宋_GB2312"/>
          <w:sz w:val="30"/>
          <w:szCs w:val="30"/>
          <w:highlight w:val="none"/>
          <w:lang w:eastAsia="zh-CN"/>
        </w:rPr>
        <w:t>，严格按照预算执行。</w:t>
      </w:r>
    </w:p>
    <w:p w14:paraId="18C139AB">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rPr>
        <w:t>3年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rPr>
        <w:t>2</w:t>
      </w:r>
      <w:r>
        <w:rPr>
          <w:rFonts w:hint="eastAsia" w:ascii="Times New Roman" w:hAnsi="Times New Roman" w:eastAsia="仿宋_GB2312" w:cs="仿宋_GB2312"/>
          <w:kern w:val="0"/>
          <w:sz w:val="30"/>
          <w:szCs w:val="30"/>
          <w:highlight w:val="none"/>
        </w:rPr>
        <w:t>辆。</w:t>
      </w:r>
    </w:p>
    <w:p w14:paraId="47CE0467">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公务用车购置费预算0.00元，支出决算0.00元，与预算相比持平；较上年持平。决算数等于预算数的主要原因是：</w:t>
      </w:r>
      <w:r>
        <w:rPr>
          <w:rFonts w:hint="eastAsia" w:ascii="Times New Roman" w:hAnsi="Times New Roman" w:eastAsia="仿宋_GB2312" w:cs="仿宋_GB2312"/>
          <w:kern w:val="0"/>
          <w:sz w:val="30"/>
          <w:szCs w:val="30"/>
          <w:highlight w:val="none"/>
          <w:lang w:val="en-US" w:eastAsia="zh-CN"/>
        </w:rPr>
        <w:t>本年度</w:t>
      </w:r>
      <w:r>
        <w:rPr>
          <w:rFonts w:hint="eastAsia" w:ascii="Times New Roman" w:hAnsi="Times New Roman" w:eastAsia="仿宋_GB2312" w:cs="仿宋_GB2312"/>
          <w:kern w:val="0"/>
          <w:sz w:val="30"/>
          <w:szCs w:val="30"/>
          <w:highlight w:val="none"/>
        </w:rPr>
        <w:t>未</w:t>
      </w:r>
      <w:r>
        <w:rPr>
          <w:rFonts w:hint="eastAsia" w:ascii="Times New Roman" w:hAnsi="Times New Roman" w:eastAsia="仿宋_GB2312" w:cs="仿宋_GB2312"/>
          <w:kern w:val="0"/>
          <w:sz w:val="30"/>
          <w:szCs w:val="30"/>
          <w:highlight w:val="none"/>
          <w:lang w:val="en-US" w:eastAsia="zh-CN"/>
        </w:rPr>
        <w:t>用财政拨款经费列支</w:t>
      </w:r>
      <w:r>
        <w:rPr>
          <w:rFonts w:hint="eastAsia" w:ascii="Times New Roman" w:hAnsi="Times New Roman" w:eastAsia="仿宋_GB2312" w:cs="仿宋_GB2312"/>
          <w:kern w:val="0"/>
          <w:sz w:val="30"/>
          <w:szCs w:val="30"/>
          <w:highlight w:val="none"/>
        </w:rPr>
        <w:t>公务用车购置费；决算数较上年持平的主要原因是：</w:t>
      </w:r>
      <w:r>
        <w:rPr>
          <w:rFonts w:hint="eastAsia" w:ascii="Times New Roman" w:hAnsi="Times New Roman" w:eastAsia="仿宋_GB2312" w:cs="仿宋_GB2312"/>
          <w:kern w:val="0"/>
          <w:sz w:val="30"/>
          <w:szCs w:val="30"/>
          <w:highlight w:val="none"/>
          <w:lang w:val="en-US" w:eastAsia="zh-CN"/>
        </w:rPr>
        <w:t>本年度</w:t>
      </w:r>
      <w:r>
        <w:rPr>
          <w:rFonts w:hint="eastAsia" w:ascii="Times New Roman" w:hAnsi="Times New Roman" w:eastAsia="仿宋_GB2312" w:cs="仿宋_GB2312"/>
          <w:kern w:val="0"/>
          <w:sz w:val="30"/>
          <w:szCs w:val="30"/>
          <w:highlight w:val="none"/>
        </w:rPr>
        <w:t>未</w:t>
      </w:r>
      <w:r>
        <w:rPr>
          <w:rFonts w:hint="eastAsia" w:ascii="Times New Roman" w:hAnsi="Times New Roman" w:eastAsia="仿宋_GB2312" w:cs="仿宋_GB2312"/>
          <w:kern w:val="0"/>
          <w:sz w:val="30"/>
          <w:szCs w:val="30"/>
          <w:highlight w:val="none"/>
          <w:lang w:val="en-US" w:eastAsia="zh-CN"/>
        </w:rPr>
        <w:t>用财政拨款经费列支</w:t>
      </w:r>
      <w:r>
        <w:rPr>
          <w:rFonts w:hint="eastAsia" w:ascii="Times New Roman" w:hAnsi="Times New Roman" w:eastAsia="仿宋_GB2312" w:cs="仿宋_GB2312"/>
          <w:kern w:val="0"/>
          <w:sz w:val="30"/>
          <w:szCs w:val="30"/>
          <w:highlight w:val="none"/>
        </w:rPr>
        <w:t>公务用车购置费。</w:t>
      </w:r>
    </w:p>
    <w:p w14:paraId="458BAE7F">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rPr>
        <w:t>3年购置公务用车</w:t>
      </w:r>
      <w:r>
        <w:rPr>
          <w:rFonts w:hint="eastAsia" w:ascii="Times New Roman" w:hAnsi="Times New Roman" w:eastAsia="仿宋_GB2312" w:cs="Times New Roman"/>
          <w:kern w:val="0"/>
          <w:sz w:val="30"/>
          <w:szCs w:val="30"/>
          <w:highlight w:val="none"/>
        </w:rPr>
        <w:t>0</w:t>
      </w:r>
      <w:r>
        <w:rPr>
          <w:rFonts w:hint="eastAsia" w:ascii="Times New Roman" w:hAnsi="Times New Roman" w:eastAsia="仿宋_GB2312" w:cs="仿宋_GB2312"/>
          <w:kern w:val="0"/>
          <w:sz w:val="30"/>
          <w:szCs w:val="30"/>
          <w:highlight w:val="none"/>
        </w:rPr>
        <w:t>辆。</w:t>
      </w:r>
    </w:p>
    <w:p w14:paraId="1AB21821">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rPr>
        <w:t>持平</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rPr>
        <w:t>持</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val="en-US" w:eastAsia="zh-CN"/>
        </w:rPr>
        <w:t>本年度</w:t>
      </w:r>
      <w:r>
        <w:rPr>
          <w:rFonts w:hint="eastAsia" w:ascii="Times New Roman" w:hAnsi="Times New Roman" w:eastAsia="仿宋_GB2312" w:cs="仿宋_GB2312"/>
          <w:sz w:val="30"/>
          <w:szCs w:val="30"/>
          <w:highlight w:val="none"/>
        </w:rPr>
        <w:t>未</w:t>
      </w:r>
      <w:r>
        <w:rPr>
          <w:rFonts w:hint="eastAsia" w:ascii="Times New Roman" w:hAnsi="Times New Roman" w:eastAsia="仿宋_GB2312" w:cs="仿宋_GB2312"/>
          <w:sz w:val="30"/>
          <w:szCs w:val="30"/>
          <w:highlight w:val="none"/>
          <w:lang w:val="en-US" w:eastAsia="zh-CN"/>
        </w:rPr>
        <w:t>用财政拨款经费列支</w:t>
      </w:r>
      <w:r>
        <w:rPr>
          <w:rFonts w:hint="eastAsia" w:ascii="Times New Roman" w:hAnsi="Times New Roman" w:eastAsia="仿宋_GB2312" w:cs="仿宋_GB2312"/>
          <w:sz w:val="30"/>
          <w:szCs w:val="30"/>
          <w:highlight w:val="none"/>
        </w:rPr>
        <w:t>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val="en-US" w:eastAsia="zh-CN"/>
        </w:rPr>
        <w:t>本年度</w:t>
      </w:r>
      <w:r>
        <w:rPr>
          <w:rFonts w:hint="eastAsia" w:ascii="Times New Roman" w:hAnsi="Times New Roman" w:eastAsia="仿宋_GB2312" w:cs="仿宋_GB2312"/>
          <w:sz w:val="30"/>
          <w:szCs w:val="30"/>
          <w:highlight w:val="none"/>
        </w:rPr>
        <w:t>未</w:t>
      </w:r>
      <w:r>
        <w:rPr>
          <w:rFonts w:hint="eastAsia" w:ascii="Times New Roman" w:hAnsi="Times New Roman" w:eastAsia="仿宋_GB2312" w:cs="仿宋_GB2312"/>
          <w:sz w:val="30"/>
          <w:szCs w:val="30"/>
          <w:highlight w:val="none"/>
          <w:lang w:val="en-US" w:eastAsia="zh-CN"/>
        </w:rPr>
        <w:t>用财政拨款经费列支</w:t>
      </w:r>
      <w:r>
        <w:rPr>
          <w:rFonts w:hint="eastAsia" w:ascii="Times New Roman" w:hAnsi="Times New Roman" w:eastAsia="仿宋_GB2312" w:cs="仿宋_GB2312"/>
          <w:sz w:val="30"/>
          <w:szCs w:val="30"/>
          <w:highlight w:val="none"/>
        </w:rPr>
        <w:t>公务接待费。</w:t>
      </w:r>
    </w:p>
    <w:p w14:paraId="3D54633C">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rPr>
        <w:t>3年本单位国内公务接待</w:t>
      </w:r>
      <w:r>
        <w:rPr>
          <w:rFonts w:hint="eastAsia" w:ascii="Times New Roman" w:hAnsi="Times New Roman" w:eastAsia="仿宋_GB2312" w:cs="Times New Roman"/>
          <w:kern w:val="0"/>
          <w:sz w:val="30"/>
          <w:szCs w:val="30"/>
          <w:highlight w:val="none"/>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rPr>
        <w:t>0</w:t>
      </w:r>
      <w:r>
        <w:rPr>
          <w:rFonts w:hint="eastAsia" w:ascii="Times New Roman" w:hAnsi="Times New Roman" w:eastAsia="仿宋_GB2312" w:cs="仿宋_GB2312"/>
          <w:kern w:val="0"/>
          <w:sz w:val="30"/>
          <w:szCs w:val="30"/>
          <w:highlight w:val="none"/>
        </w:rPr>
        <w:t>人</w:t>
      </w:r>
      <w:r>
        <w:rPr>
          <w:rFonts w:hint="eastAsia" w:ascii="Times New Roman" w:hAnsi="Times New Roman" w:eastAsia="仿宋_GB2312" w:cs="仿宋_GB2312"/>
          <w:kern w:val="0"/>
          <w:sz w:val="30"/>
          <w:szCs w:val="30"/>
        </w:rPr>
        <w:t>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96FC5F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0CE1268A">
      <w:pPr>
        <w:keepNext/>
        <w:keepLines/>
        <w:autoSpaceDE w:val="0"/>
        <w:autoSpaceDN w:val="0"/>
        <w:adjustRightInd w:val="0"/>
        <w:spacing w:line="600" w:lineRule="exact"/>
        <w:ind w:firstLine="602"/>
        <w:jc w:val="left"/>
        <w:outlineLvl w:val="1"/>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天津市航道工程处2023年度无机关运行经费。</w:t>
      </w:r>
    </w:p>
    <w:p w14:paraId="3490454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1DBE0DA0">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color w:val="000000"/>
          <w:kern w:val="0"/>
          <w:sz w:val="30"/>
          <w:szCs w:val="30"/>
        </w:rPr>
        <w:t>天津市航道工程处</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25,492.94</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25,492.94</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0.0%</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0.0%</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4A8ABEDA">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47C8912E">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rPr>
      </w:pPr>
      <w:r>
        <w:rPr>
          <w:rFonts w:hint="eastAsia" w:ascii="Times New Roman" w:hAnsi="Times New Roman" w:eastAsia="仿宋_GB2312" w:cs="仿宋_GB2312"/>
          <w:color w:val="000000"/>
          <w:kern w:val="0"/>
          <w:sz w:val="30"/>
          <w:szCs w:val="30"/>
        </w:rPr>
        <w:t>截至</w:t>
      </w:r>
      <w:r>
        <w:rPr>
          <w:rFonts w:ascii="Times New Roman" w:hAnsi="Times New Roman" w:eastAsia="宋体" w:cs="宋体"/>
          <w:color w:val="000000"/>
          <w:kern w:val="0"/>
          <w:sz w:val="30"/>
          <w:szCs w:val="30"/>
        </w:rPr>
        <w:t>202</w:t>
      </w:r>
      <w:r>
        <w:rPr>
          <w:rFonts w:hint="eastAsia" w:ascii="Times New Roman" w:hAnsi="Times New Roman" w:eastAsia="宋体" w:cs="宋体"/>
          <w:color w:val="000000"/>
          <w:kern w:val="0"/>
          <w:sz w:val="30"/>
          <w:szCs w:val="30"/>
        </w:rPr>
        <w:t>3</w:t>
      </w:r>
      <w:r>
        <w:rPr>
          <w:rFonts w:hint="eastAsia" w:ascii="Times New Roman" w:hAnsi="Times New Roman" w:eastAsia="仿宋_GB2312" w:cs="仿宋_GB2312"/>
          <w:color w:val="000000"/>
          <w:kern w:val="0"/>
          <w:sz w:val="30"/>
          <w:szCs w:val="30"/>
        </w:rPr>
        <w:t>年</w:t>
      </w:r>
      <w:r>
        <w:rPr>
          <w:rFonts w:ascii="Times New Roman" w:hAnsi="Times New Roman" w:eastAsia="仿宋_GB2312" w:cs="Times New Roman"/>
          <w:color w:val="000000"/>
          <w:kern w:val="0"/>
          <w:sz w:val="30"/>
          <w:szCs w:val="30"/>
        </w:rPr>
        <w:t>12</w:t>
      </w:r>
      <w:r>
        <w:rPr>
          <w:rFonts w:hint="eastAsia" w:ascii="Times New Roman" w:hAnsi="Times New Roman" w:eastAsia="仿宋_GB2312" w:cs="仿宋_GB2312"/>
          <w:color w:val="000000"/>
          <w:kern w:val="0"/>
          <w:sz w:val="30"/>
          <w:szCs w:val="30"/>
        </w:rPr>
        <w:t>月</w:t>
      </w:r>
      <w:r>
        <w:rPr>
          <w:rFonts w:ascii="Times New Roman" w:hAnsi="Times New Roman" w:eastAsia="仿宋_GB2312" w:cs="Times New Roman"/>
          <w:color w:val="000000"/>
          <w:kern w:val="0"/>
          <w:sz w:val="30"/>
          <w:szCs w:val="30"/>
        </w:rPr>
        <w:t>31</w:t>
      </w:r>
      <w:r>
        <w:rPr>
          <w:rFonts w:hint="eastAsia" w:ascii="Times New Roman" w:hAnsi="Times New Roman" w:eastAsia="仿宋_GB2312" w:cs="仿宋_GB2312"/>
          <w:color w:val="000000"/>
          <w:kern w:val="0"/>
          <w:sz w:val="30"/>
          <w:szCs w:val="30"/>
        </w:rPr>
        <w:t>日，天津市航道工程处共有车辆</w:t>
      </w:r>
      <w:r>
        <w:rPr>
          <w:rFonts w:hint="eastAsia" w:ascii="Times New Roman" w:hAnsi="Times New Roman" w:eastAsia="仿宋_GB2312" w:cs="Times New Roman"/>
          <w:kern w:val="0"/>
          <w:sz w:val="30"/>
          <w:szCs w:val="30"/>
        </w:rPr>
        <w:t>16</w:t>
      </w:r>
      <w:r>
        <w:rPr>
          <w:rFonts w:hint="eastAsia" w:ascii="Times New Roman" w:hAnsi="Times New Roman" w:eastAsia="仿宋_GB2312" w:cs="仿宋_GB2312"/>
          <w:color w:val="000000"/>
          <w:kern w:val="0"/>
          <w:sz w:val="30"/>
          <w:szCs w:val="30"/>
        </w:rPr>
        <w:t>辆，其中：</w:t>
      </w:r>
      <w:r>
        <w:rPr>
          <w:rFonts w:ascii="Times New Roman" w:hAnsi="Times New Roman" w:eastAsia="仿宋_GB2312" w:cs="Times New Roman"/>
          <w:kern w:val="0"/>
          <w:sz w:val="30"/>
          <w:szCs w:val="30"/>
        </w:rPr>
        <w:t>副部（省）级及以上领导用车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主要</w:t>
      </w:r>
      <w:r>
        <w:rPr>
          <w:rFonts w:hint="eastAsia" w:ascii="Times New Roman" w:hAnsi="Times New Roman" w:eastAsia="仿宋_GB2312" w:cs="Times New Roman"/>
          <w:kern w:val="0"/>
          <w:sz w:val="30"/>
          <w:szCs w:val="30"/>
        </w:rPr>
        <w:t>负责人</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机要通信用车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应急保障用车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执法执勤用车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特种专业技术用车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离退休干部</w:t>
      </w:r>
      <w:r>
        <w:rPr>
          <w:rFonts w:hint="eastAsia" w:ascii="Times New Roman" w:hAnsi="Times New Roman" w:eastAsia="仿宋_GB2312" w:cs="Times New Roman"/>
          <w:kern w:val="0"/>
          <w:sz w:val="30"/>
          <w:szCs w:val="30"/>
        </w:rPr>
        <w:t>服务</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其他用车</w:t>
      </w:r>
      <w:r>
        <w:rPr>
          <w:rFonts w:hint="eastAsia" w:ascii="Times New Roman" w:hAnsi="Times New Roman" w:eastAsia="仿宋_GB2312" w:cs="Times New Roman"/>
          <w:kern w:val="0"/>
          <w:sz w:val="30"/>
          <w:szCs w:val="30"/>
        </w:rPr>
        <w:t>16</w:t>
      </w:r>
      <w:r>
        <w:rPr>
          <w:rFonts w:ascii="Times New Roman" w:hAnsi="Times New Roman" w:eastAsia="仿宋_GB2312" w:cs="Times New Roman"/>
          <w:kern w:val="0"/>
          <w:sz w:val="30"/>
          <w:szCs w:val="30"/>
        </w:rPr>
        <w:t>辆</w:t>
      </w:r>
      <w:r>
        <w:rPr>
          <w:rFonts w:hint="eastAsia" w:ascii="Times New Roman" w:hAnsi="Times New Roman" w:eastAsia="仿宋_GB2312" w:cs="Times New Roman"/>
          <w:kern w:val="0"/>
          <w:sz w:val="30"/>
          <w:szCs w:val="30"/>
        </w:rPr>
        <w:t>，其他用车主要包括</w:t>
      </w:r>
      <w:r>
        <w:rPr>
          <w:rFonts w:hint="eastAsia" w:ascii="Times New Roman" w:hAnsi="Times New Roman" w:eastAsia="仿宋_GB2312" w:cs="仿宋_GB2312"/>
          <w:sz w:val="30"/>
          <w:szCs w:val="30"/>
        </w:rPr>
        <w:t>公务用车、生产用车</w:t>
      </w:r>
      <w:r>
        <w:rPr>
          <w:rFonts w:hint="eastAsia" w:ascii="Times New Roman" w:hAnsi="Times New Roman" w:eastAsia="仿宋_GB2312" w:cs="仿宋_GB2312"/>
          <w:kern w:val="0"/>
          <w:sz w:val="30"/>
          <w:szCs w:val="30"/>
          <w:lang w:val="zh-CN"/>
        </w:rPr>
        <w:t>。</w:t>
      </w:r>
      <w:r>
        <w:rPr>
          <w:rFonts w:hint="eastAsia" w:ascii="Times New Roman" w:hAnsi="Times New Roman" w:eastAsia="仿宋_GB2312" w:cs="仿宋_GB2312"/>
          <w:kern w:val="0"/>
          <w:sz w:val="30"/>
          <w:szCs w:val="30"/>
        </w:rPr>
        <w:t>单价</w:t>
      </w:r>
      <w:r>
        <w:rPr>
          <w:rFonts w:ascii="Times New Roman" w:hAnsi="Times New Roman" w:eastAsia="仿宋_GB2312" w:cs="仿宋_GB2312"/>
          <w:kern w:val="0"/>
          <w:sz w:val="30"/>
          <w:szCs w:val="30"/>
        </w:rPr>
        <w:t>100</w:t>
      </w:r>
      <w:r>
        <w:rPr>
          <w:rFonts w:hint="eastAsia" w:ascii="Times New Roman" w:hAnsi="Times New Roman" w:eastAsia="仿宋_GB2312" w:cs="仿宋_GB2312"/>
          <w:kern w:val="0"/>
          <w:sz w:val="30"/>
          <w:szCs w:val="30"/>
        </w:rPr>
        <w:t>万元以上的设备</w:t>
      </w:r>
      <w:r>
        <w:rPr>
          <w:rFonts w:hint="eastAsia" w:ascii="Times New Roman" w:hAnsi="Times New Roman" w:eastAsia="仿宋_GB2312" w:cs="Times New Roman"/>
          <w:kern w:val="0"/>
          <w:sz w:val="30"/>
          <w:szCs w:val="30"/>
        </w:rPr>
        <w:t>4</w:t>
      </w:r>
      <w:r>
        <w:rPr>
          <w:rFonts w:hint="eastAsia" w:ascii="Times New Roman" w:hAnsi="Times New Roman" w:eastAsia="仿宋_GB2312" w:cs="仿宋_GB2312"/>
          <w:kern w:val="0"/>
          <w:sz w:val="30"/>
          <w:szCs w:val="30"/>
        </w:rPr>
        <w:t>台（套）。</w:t>
      </w:r>
    </w:p>
    <w:p w14:paraId="7C3446F9">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7C93AB79">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天津市航道工程处2023年度没有项目支出，无需开展部门评价。</w:t>
      </w:r>
    </w:p>
    <w:p w14:paraId="48264C40">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654812C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天津市航道工程处不属于乡、镇、街级单位，不涉及公开2023年度教育、医疗卫生、社会保障和就业、住房保障、涉农补贴等民生支出情况。</w:t>
      </w:r>
    </w:p>
    <w:p w14:paraId="1904514E">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55AFE15F">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w:t>
      </w:r>
      <w:r>
        <w:rPr>
          <w:rFonts w:hint="eastAsia" w:ascii="Times New Roman" w:hAnsi="Times New Roman" w:eastAsia="方正小标宋简体" w:cs="方正小标宋简体"/>
          <w:kern w:val="44"/>
          <w:sz w:val="44"/>
          <w:szCs w:val="44"/>
          <w:lang w:val="en-US" w:eastAsia="zh-CN"/>
        </w:rPr>
        <w:t xml:space="preserve"> </w:t>
      </w:r>
      <w:r>
        <w:rPr>
          <w:rFonts w:hint="eastAsia" w:ascii="Times New Roman" w:hAnsi="Times New Roman" w:eastAsia="方正小标宋简体" w:cs="方正小标宋简体"/>
          <w:kern w:val="44"/>
          <w:sz w:val="44"/>
          <w:szCs w:val="44"/>
        </w:rPr>
        <w:t>名词解释</w:t>
      </w:r>
    </w:p>
    <w:p w14:paraId="5765D0A7">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78027A0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2100C7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0CBB6523">
      <w:pPr>
        <w:autoSpaceDE w:val="0"/>
        <w:autoSpaceDN w:val="0"/>
        <w:adjustRightInd w:val="0"/>
        <w:spacing w:line="600" w:lineRule="exact"/>
        <w:ind w:firstLine="600"/>
        <w:jc w:val="left"/>
        <w:rPr>
          <w:rFonts w:hint="eastAsia"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4330F3C3">
      <w:pPr>
        <w:autoSpaceDE w:val="0"/>
        <w:autoSpaceDN w:val="0"/>
        <w:adjustRightInd w:val="0"/>
        <w:spacing w:line="600" w:lineRule="exact"/>
        <w:ind w:firstLine="600"/>
        <w:jc w:val="left"/>
        <w:rPr>
          <w:rFonts w:hint="default" w:ascii="Times New Roman" w:hAnsi="Times New Roman" w:eastAsia="仿宋_GB2312" w:cs="仿宋_GB2312"/>
          <w:kern w:val="0"/>
          <w:sz w:val="30"/>
          <w:szCs w:val="30"/>
          <w:lang w:val="en-US" w:eastAsia="zh-CN"/>
        </w:rPr>
      </w:pPr>
      <w:r>
        <w:rPr>
          <w:rFonts w:hint="eastAsia" w:ascii="Times New Roman" w:hAnsi="Times New Roman" w:eastAsia="仿宋_GB2312" w:cs="仿宋_GB2312"/>
          <w:kern w:val="0"/>
          <w:sz w:val="30"/>
          <w:szCs w:val="30"/>
          <w:lang w:val="en-US" w:eastAsia="zh-CN"/>
        </w:rPr>
        <w:t>4.航道维护费。反映内河航道整治、维护方面的支出。</w:t>
      </w:r>
    </w:p>
    <w:sectPr>
      <w:footerReference r:id="rId9"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EEB3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8F82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B26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B515">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281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FFA4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4FFA4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37D1D">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09C5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E08AB"/>
    <w:multiLevelType w:val="singleLevel"/>
    <w:tmpl w:val="B63E08AB"/>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lZWUwNDYyOThkZGYyM2RhOTk2NWM1OGYyOWY4NzA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0A8A"/>
    <w:rsid w:val="005175E6"/>
    <w:rsid w:val="00525157"/>
    <w:rsid w:val="005349A2"/>
    <w:rsid w:val="00565411"/>
    <w:rsid w:val="00575537"/>
    <w:rsid w:val="005D1367"/>
    <w:rsid w:val="005D3F56"/>
    <w:rsid w:val="00654D17"/>
    <w:rsid w:val="006623EC"/>
    <w:rsid w:val="006A094D"/>
    <w:rsid w:val="006D2409"/>
    <w:rsid w:val="006E65DB"/>
    <w:rsid w:val="00776FF3"/>
    <w:rsid w:val="0078156E"/>
    <w:rsid w:val="00786E74"/>
    <w:rsid w:val="007C2FB5"/>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96615F8"/>
    <w:rsid w:val="0A7D5D1A"/>
    <w:rsid w:val="0AF018E5"/>
    <w:rsid w:val="0B1428B6"/>
    <w:rsid w:val="0B2716A6"/>
    <w:rsid w:val="0B2E72C7"/>
    <w:rsid w:val="0C411F0C"/>
    <w:rsid w:val="0CDD71F7"/>
    <w:rsid w:val="0CEB1914"/>
    <w:rsid w:val="0D664210"/>
    <w:rsid w:val="0DA7267B"/>
    <w:rsid w:val="0DFB4FC0"/>
    <w:rsid w:val="0E267459"/>
    <w:rsid w:val="0EBB5316"/>
    <w:rsid w:val="0EF05CDA"/>
    <w:rsid w:val="0FC42B69"/>
    <w:rsid w:val="0FF22FB9"/>
    <w:rsid w:val="118916FB"/>
    <w:rsid w:val="11BA4917"/>
    <w:rsid w:val="1221675E"/>
    <w:rsid w:val="12C34799"/>
    <w:rsid w:val="12D93FBD"/>
    <w:rsid w:val="13463246"/>
    <w:rsid w:val="142D4C1F"/>
    <w:rsid w:val="15F1161D"/>
    <w:rsid w:val="161D1413"/>
    <w:rsid w:val="1666200B"/>
    <w:rsid w:val="16C5644A"/>
    <w:rsid w:val="16D76A65"/>
    <w:rsid w:val="17C84C4C"/>
    <w:rsid w:val="1949378C"/>
    <w:rsid w:val="199A3054"/>
    <w:rsid w:val="19FD1092"/>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ACB37E2"/>
    <w:rsid w:val="2BC20F83"/>
    <w:rsid w:val="2BE1694E"/>
    <w:rsid w:val="2C800474"/>
    <w:rsid w:val="2C8F0671"/>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4E457DE"/>
    <w:rsid w:val="354D7E20"/>
    <w:rsid w:val="35747E49"/>
    <w:rsid w:val="35823AFA"/>
    <w:rsid w:val="358C1096"/>
    <w:rsid w:val="35B6328D"/>
    <w:rsid w:val="35F44AE6"/>
    <w:rsid w:val="36144696"/>
    <w:rsid w:val="381E22EE"/>
    <w:rsid w:val="3AF76503"/>
    <w:rsid w:val="3B0209DD"/>
    <w:rsid w:val="3B0C198B"/>
    <w:rsid w:val="3B483C6E"/>
    <w:rsid w:val="3B776F10"/>
    <w:rsid w:val="3B7C7A57"/>
    <w:rsid w:val="3B8E1539"/>
    <w:rsid w:val="3CA06609"/>
    <w:rsid w:val="3D600CB3"/>
    <w:rsid w:val="3E426F14"/>
    <w:rsid w:val="3EB42189"/>
    <w:rsid w:val="3EC62D97"/>
    <w:rsid w:val="3EEF0B4C"/>
    <w:rsid w:val="3EF16375"/>
    <w:rsid w:val="3F2006FA"/>
    <w:rsid w:val="3F3C0074"/>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0604FE6"/>
    <w:rsid w:val="615900E7"/>
    <w:rsid w:val="61D75AE1"/>
    <w:rsid w:val="620B43D3"/>
    <w:rsid w:val="624C1682"/>
    <w:rsid w:val="63B80927"/>
    <w:rsid w:val="643C1F0A"/>
    <w:rsid w:val="644D16E1"/>
    <w:rsid w:val="64925346"/>
    <w:rsid w:val="654D2EBE"/>
    <w:rsid w:val="654E5711"/>
    <w:rsid w:val="656942F9"/>
    <w:rsid w:val="665D659A"/>
    <w:rsid w:val="66BC2A82"/>
    <w:rsid w:val="672E57FA"/>
    <w:rsid w:val="67323D62"/>
    <w:rsid w:val="68200AB4"/>
    <w:rsid w:val="68C169D0"/>
    <w:rsid w:val="68DC0F1D"/>
    <w:rsid w:val="6B4F5D3F"/>
    <w:rsid w:val="6B963EB9"/>
    <w:rsid w:val="6BBB51FE"/>
    <w:rsid w:val="6BF54B38"/>
    <w:rsid w:val="6C054650"/>
    <w:rsid w:val="6C1D5E3D"/>
    <w:rsid w:val="6CF70A69"/>
    <w:rsid w:val="6CFE17CB"/>
    <w:rsid w:val="6D5E0469"/>
    <w:rsid w:val="6D854C1A"/>
    <w:rsid w:val="6E080CF4"/>
    <w:rsid w:val="6EB34837"/>
    <w:rsid w:val="6F8F7052"/>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D66576B"/>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1"/>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2"/>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8">
    <w:name w:val="toc 2"/>
    <w:basedOn w:val="1"/>
    <w:next w:val="1"/>
    <w:unhideWhenUsed/>
    <w:qFormat/>
    <w:uiPriority w:val="39"/>
    <w:pPr>
      <w:widowControl/>
      <w:adjustRightInd/>
      <w:spacing w:after="100" w:line="276" w:lineRule="auto"/>
      <w:ind w:left="220"/>
      <w:textAlignment w:val="auto"/>
    </w:pPr>
    <w:rPr>
      <w:rFonts w:ascii="Calibri" w:hAnsi="Calibri" w:eastAsia="宋体" w:cs="Times New Roman"/>
      <w:sz w:val="22"/>
      <w:szCs w:val="22"/>
    </w:rPr>
  </w:style>
  <w:style w:type="character" w:customStyle="1" w:styleId="11">
    <w:name w:val="标题 1 字符"/>
    <w:basedOn w:val="10"/>
    <w:link w:val="2"/>
    <w:qFormat/>
    <w:uiPriority w:val="99"/>
    <w:rPr>
      <w:rFonts w:ascii="方正小标宋简体" w:eastAsia="方正小标宋简体"/>
      <w:kern w:val="0"/>
      <w:sz w:val="24"/>
      <w:szCs w:val="24"/>
    </w:rPr>
  </w:style>
  <w:style w:type="character" w:customStyle="1" w:styleId="12">
    <w:name w:val="标题 2 字符"/>
    <w:basedOn w:val="10"/>
    <w:link w:val="3"/>
    <w:qFormat/>
    <w:uiPriority w:val="99"/>
    <w:rPr>
      <w:rFonts w:ascii="方正小标宋简体" w:eastAsia="方正小标宋简体"/>
      <w:kern w:val="0"/>
      <w:sz w:val="24"/>
      <w:szCs w:val="24"/>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4290</Words>
  <Characters>4954</Characters>
  <Lines>42</Lines>
  <Paragraphs>12</Paragraphs>
  <TotalTime>9</TotalTime>
  <ScaleCrop>false</ScaleCrop>
  <LinksUpToDate>false</LinksUpToDate>
  <CharactersWithSpaces>5018</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2024-09-05T01:36:52Z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A44E0A178634409BBBA50D5636087390_13</vt:lpwstr>
  </property>
</Properties>
</file>