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天津市集体运输事业管理中心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天津市集体运输事业管理中心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为集体运输企业提供业务指导和服务，对所属集体运输企业经营范围内的集体资产实施监督、管理和资本运营，承担保值增值责任</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天津市集体运输事业管理中心内设4个职能处室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天津市集体运输事业管理中心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天津市集体运输事业管理中心。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237,045.92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100,000.00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1,068,000.00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snapToGrid w:val="0"/>
              <w:jc w:val="right"/>
            </w:pPr>
            <w:r>
              <w:rPr>
                <w:rFonts w:ascii="宋体" w:eastAsia="宋体" w:hAnsi="宋体" w:cs="宋体"/>
                <w:b w:val="0"/>
                <w:i w:val="0"/>
                <w:color w:val="000000"/>
                <w:sz w:val="23"/>
              </w:rPr>
              <w:t xml:space="preserve">730,954.08</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1,068,000.00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1,068,000.00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1,068,000.00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1,068,000.00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1,068,000.00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1,068,000.00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237,045.92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237,045.92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237,045.92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237,045.92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137,045.92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137,045.92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w:t>
            </w:r>
          </w:p>
        </w:tc>
        <w:tc>
          <w:tcPr>
            <w:tcW w:w="2520" w:type="dxa"/>
            <w:tcBorders/>
            <w:vAlign w:val="center"/>
          </w:tcPr>
          <w:p>
            <w:pPr>
              <w:snapToGrid w:val="0"/>
              <w:jc w:val="left"/>
            </w:pPr>
            <w:r>
              <w:rPr>
                <w:rFonts w:ascii="宋体" w:eastAsia="宋体" w:hAnsi="宋体" w:cs="宋体"/>
                <w:b w:val="0"/>
                <w:i w:val="0"/>
                <w:color w:val="000000"/>
                <w:sz w:val="14"/>
              </w:rPr>
              <w:t xml:space="preserve">交通运输支出</w:t>
            </w:r>
          </w:p>
        </w:tc>
        <w:tc>
          <w:tcPr>
            <w:tcW w:w="1240" w:type="dxa"/>
            <w:tcBorders/>
            <w:vAlign w:val="center"/>
          </w:tcPr>
          <w:p>
            <w:pPr>
              <w:snapToGrid w:val="0"/>
              <w:jc w:val="right"/>
            </w:pPr>
            <w:r>
              <w:rPr>
                <w:rFonts w:ascii="宋体" w:eastAsia="宋体" w:hAnsi="宋体" w:cs="宋体"/>
                <w:b w:val="0"/>
                <w:i w:val="0"/>
                <w:color w:val="000000"/>
                <w:sz w:val="14"/>
              </w:rPr>
              <w:t xml:space="preserve">730,954.08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730,954.08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w:t>
            </w:r>
          </w:p>
        </w:tc>
        <w:tc>
          <w:tcPr>
            <w:tcW w:w="2520" w:type="dxa"/>
            <w:tcBorders/>
            <w:vAlign w:val="center"/>
          </w:tcPr>
          <w:p>
            <w:pPr>
              <w:snapToGrid w:val="0"/>
              <w:jc w:val="left"/>
            </w:pPr>
            <w:r>
              <w:rPr>
                <w:rFonts w:ascii="宋体" w:eastAsia="宋体" w:hAnsi="宋体" w:cs="宋体"/>
                <w:b w:val="0"/>
                <w:i w:val="0"/>
                <w:color w:val="000000"/>
                <w:sz w:val="14"/>
              </w:rPr>
              <w:t xml:space="preserve">公路水路运输</w:t>
            </w:r>
          </w:p>
        </w:tc>
        <w:tc>
          <w:tcPr>
            <w:tcW w:w="1240" w:type="dxa"/>
            <w:tcBorders/>
            <w:vAlign w:val="center"/>
          </w:tcPr>
          <w:p>
            <w:pPr>
              <w:snapToGrid w:val="0"/>
              <w:jc w:val="right"/>
            </w:pPr>
            <w:r>
              <w:rPr>
                <w:rFonts w:ascii="宋体" w:eastAsia="宋体" w:hAnsi="宋体" w:cs="宋体"/>
                <w:b w:val="0"/>
                <w:i w:val="0"/>
                <w:color w:val="000000"/>
                <w:sz w:val="14"/>
              </w:rPr>
              <w:t xml:space="preserve">730,954.08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730,954.08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2140112</w:t>
            </w:r>
          </w:p>
        </w:tc>
        <w:tc>
          <w:tcPr>
            <w:tcW w:w="2520" w:type="dxa"/>
            <w:tcBorders/>
            <w:vAlign w:val="center"/>
          </w:tcPr>
          <w:p>
            <w:pPr>
              <w:snapToGrid w:val="0"/>
              <w:jc w:val="left"/>
            </w:pPr>
            <w:r>
              <w:rPr>
                <w:rFonts w:ascii="宋体" w:eastAsia="宋体" w:hAnsi="宋体" w:cs="宋体"/>
                <w:b w:val="0"/>
                <w:i w:val="0"/>
                <w:color w:val="000000"/>
                <w:sz w:val="14"/>
              </w:rPr>
              <w:t xml:space="preserve">公路运输管理</w:t>
            </w:r>
          </w:p>
        </w:tc>
        <w:tc>
          <w:tcPr>
            <w:tcW w:w="1240" w:type="dxa"/>
            <w:tcBorders/>
            <w:vAlign w:val="center"/>
          </w:tcPr>
          <w:p>
            <w:pPr>
              <w:snapToGrid w:val="0"/>
              <w:jc w:val="right"/>
            </w:pPr>
            <w:r>
              <w:rPr>
                <w:rFonts w:ascii="宋体" w:eastAsia="宋体" w:hAnsi="宋体" w:cs="宋体"/>
                <w:b w:val="0"/>
                <w:i w:val="0"/>
                <w:color w:val="000000"/>
                <w:sz w:val="14"/>
              </w:rPr>
              <w:t xml:space="preserve">730,954.08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730,954.08</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709703</w:t>
            </w:r>
          </w:p>
        </w:tc>
        <w:tc>
          <w:tcPr>
            <w:tcW w:w="1520" w:type="dxa"/>
            <w:tcBorders/>
            <w:vAlign w:val="center"/>
          </w:tcPr>
          <w:p>
            <w:pPr>
              <w:snapToGrid w:val="0"/>
              <w:jc w:val="center"/>
            </w:pPr>
            <w:r>
              <w:rPr>
                <w:rFonts w:ascii="宋体" w:eastAsia="宋体" w:hAnsi="宋体" w:cs="宋体"/>
                <w:b w:val="0"/>
                <w:i w:val="0"/>
                <w:color w:val="000000"/>
                <w:sz w:val="9"/>
              </w:rPr>
              <w:t xml:space="preserve">天津市集体运输事业管理中心</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1,068,000.00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1,068,000.00</w:t>
            </w:r>
          </w:p>
        </w:tc>
        <w:tc>
          <w:tcPr>
            <w:tcW w:w="1320" w:type="dxa"/>
            <w:tcBorders/>
            <w:vAlign w:val="center"/>
          </w:tcPr>
          <w:p>
            <w:pPr>
              <w:snapToGrid w:val="0"/>
              <w:jc w:val="right"/>
            </w:pPr>
            <w:r>
              <w:rPr>
                <w:rFonts w:ascii="宋体" w:eastAsia="宋体" w:hAnsi="宋体" w:cs="宋体"/>
                <w:b w:val="0"/>
                <w:i w:val="0"/>
                <w:color w:val="000000"/>
                <w:sz w:val="15"/>
              </w:rPr>
              <w:t xml:space="preserve">1,068,000.00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237,045.92</w:t>
            </w:r>
          </w:p>
        </w:tc>
        <w:tc>
          <w:tcPr>
            <w:tcW w:w="1320" w:type="dxa"/>
            <w:tcBorders/>
            <w:vAlign w:val="center"/>
          </w:tcPr>
          <w:p>
            <w:pPr>
              <w:snapToGrid w:val="0"/>
              <w:jc w:val="right"/>
            </w:pPr>
            <w:r>
              <w:rPr>
                <w:rFonts w:ascii="宋体" w:eastAsia="宋体" w:hAnsi="宋体" w:cs="宋体"/>
                <w:b w:val="0"/>
                <w:i w:val="0"/>
                <w:color w:val="000000"/>
                <w:sz w:val="15"/>
              </w:rPr>
              <w:t xml:space="preserve">237,045.92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237,045.92</w:t>
            </w:r>
          </w:p>
        </w:tc>
        <w:tc>
          <w:tcPr>
            <w:tcW w:w="1320" w:type="dxa"/>
            <w:tcBorders/>
            <w:vAlign w:val="center"/>
          </w:tcPr>
          <w:p>
            <w:pPr>
              <w:snapToGrid w:val="0"/>
              <w:jc w:val="right"/>
            </w:pPr>
            <w:r>
              <w:rPr>
                <w:rFonts w:ascii="宋体" w:eastAsia="宋体" w:hAnsi="宋体" w:cs="宋体"/>
                <w:b w:val="0"/>
                <w:i w:val="0"/>
                <w:color w:val="000000"/>
                <w:sz w:val="15"/>
              </w:rPr>
              <w:t xml:space="preserve">237,045.92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137,045.92</w:t>
            </w:r>
          </w:p>
        </w:tc>
        <w:tc>
          <w:tcPr>
            <w:tcW w:w="1320" w:type="dxa"/>
            <w:tcBorders/>
            <w:vAlign w:val="center"/>
          </w:tcPr>
          <w:p>
            <w:pPr>
              <w:snapToGrid w:val="0"/>
              <w:jc w:val="right"/>
            </w:pPr>
            <w:r>
              <w:rPr>
                <w:rFonts w:ascii="宋体" w:eastAsia="宋体" w:hAnsi="宋体" w:cs="宋体"/>
                <w:b w:val="0"/>
                <w:i w:val="0"/>
                <w:color w:val="000000"/>
                <w:sz w:val="15"/>
              </w:rPr>
              <w:t xml:space="preserve">137,045.92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snapToGrid w:val="0"/>
              <w:jc w:val="right"/>
            </w:pPr>
            <w:r>
              <w:rPr>
                <w:rFonts w:ascii="宋体" w:eastAsia="宋体" w:hAnsi="宋体" w:cs="宋体"/>
                <w:b w:val="0"/>
                <w:i w:val="0"/>
                <w:color w:val="000000"/>
                <w:sz w:val="15"/>
              </w:rPr>
              <w:t xml:space="preserve">100,000.00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w:t>
            </w:r>
          </w:p>
        </w:tc>
        <w:tc>
          <w:tcPr>
            <w:tcW w:w="4400" w:type="dxa"/>
            <w:tcBorders/>
            <w:vAlign w:val="center"/>
          </w:tcPr>
          <w:p>
            <w:pPr>
              <w:snapToGrid w:val="0"/>
              <w:jc w:val="left"/>
            </w:pPr>
            <w:r>
              <w:rPr>
                <w:rFonts w:ascii="宋体" w:eastAsia="宋体" w:hAnsi="宋体" w:cs="宋体"/>
                <w:b w:val="0"/>
                <w:i w:val="0"/>
                <w:color w:val="000000"/>
                <w:sz w:val="15"/>
              </w:rPr>
              <w:t xml:space="preserve">交通运输支出</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w:t>
            </w:r>
          </w:p>
        </w:tc>
        <w:tc>
          <w:tcPr>
            <w:tcW w:w="4400" w:type="dxa"/>
            <w:tcBorders/>
            <w:vAlign w:val="center"/>
          </w:tcPr>
          <w:p>
            <w:pPr>
              <w:snapToGrid w:val="0"/>
              <w:jc w:val="left"/>
            </w:pPr>
            <w:r>
              <w:rPr>
                <w:rFonts w:ascii="宋体" w:eastAsia="宋体" w:hAnsi="宋体" w:cs="宋体"/>
                <w:b w:val="0"/>
                <w:i w:val="0"/>
                <w:color w:val="000000"/>
                <w:sz w:val="15"/>
              </w:rPr>
              <w:t xml:space="preserve">公路水路运输</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2140112</w:t>
            </w:r>
          </w:p>
        </w:tc>
        <w:tc>
          <w:tcPr>
            <w:tcW w:w="4400" w:type="dxa"/>
            <w:tcBorders/>
            <w:vAlign w:val="center"/>
          </w:tcPr>
          <w:p>
            <w:pPr>
              <w:snapToGrid w:val="0"/>
              <w:jc w:val="left"/>
            </w:pPr>
            <w:r>
              <w:rPr>
                <w:rFonts w:ascii="宋体" w:eastAsia="宋体" w:hAnsi="宋体" w:cs="宋体"/>
                <w:b w:val="0"/>
                <w:i w:val="0"/>
                <w:color w:val="000000"/>
                <w:sz w:val="15"/>
              </w:rPr>
              <w:t xml:space="preserve">公路运输管理</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snapToGrid w:val="0"/>
              <w:jc w:val="right"/>
            </w:pPr>
            <w:r>
              <w:rPr>
                <w:rFonts w:ascii="宋体" w:eastAsia="宋体" w:hAnsi="宋体" w:cs="宋体"/>
                <w:b w:val="0"/>
                <w:i w:val="0"/>
                <w:color w:val="000000"/>
                <w:sz w:val="15"/>
              </w:rPr>
              <w:t xml:space="preserve">730,954.08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天津市集体运输事业管理中心2024年度财政拨款收入支出决算总表为空表。</w:t>
      </w:r>
      <w:bookmarkStart w:id="24" w:name="_Toc524951764"/>
      <w:bookmarkStart w:id="25" w:name="_Toc1437764080"/>
      <w:bookmarkStart w:id="26" w:name="_Toc1872910203"/>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天津市集体运输事业管理中心2024年度一般公共预算财政拨款支出决算表为空表。</w:t>
      </w:r>
      <w:bookmarkStart w:id="28" w:name="_Toc1014896516"/>
      <w:bookmarkStart w:id="29" w:name="_Toc1001475672"/>
      <w:bookmarkStart w:id="30" w:name="_Toc186484095"/>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1972277765"/>
      <w:bookmarkStart w:id="34" w:name="_Toc2050619938"/>
      <w:bookmarkStart w:id="35" w:name="_Toc1186085211"/>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天津市集体运输事业管理中心2024年度政府性基金预算财政拨款收入支出决算表为空表。</w:t>
      </w:r>
      <w:bookmarkStart w:id="36" w:name="_Toc816430520"/>
      <w:bookmarkStart w:id="37" w:name="_Toc1951730910"/>
      <w:bookmarkStart w:id="38"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天津市集体运输事业管理中心2024年国有资本经营预算财政拨款收入支出决算表为空表。</w:t>
      </w:r>
      <w:bookmarkStart w:id="40" w:name="_Toc2076180092"/>
      <w:bookmarkStart w:id="41" w:name="_Toc1743858547"/>
      <w:bookmarkStart w:id="42"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天津市集体运输事业管理中心2024年财政拨款“三公”经费支出决算表为空表。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173785173"/>
      <w:bookmarkStart w:id="47" w:name="_Toc2044509788"/>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单位：天津市集体运输事业管理中心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天津市集体运输事业管理中心2024年项目支出决算表为空表。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245797798"/>
      <w:bookmarkStart w:id="49" w:name="_Toc1068592552"/>
      <w:bookmarkStart w:id="50" w:name="_Toc190171269"/>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1512537805"/>
      <w:bookmarkStart w:id="55" w:name="_Toc576593978"/>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天津市集体运输事业管理中心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1,068,000.00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增加204,197.53元，增长23.639%</w:t>
      </w:r>
      <w:r>
        <w:rPr>
          <w:rFonts w:eastAsia="仿宋_GB2312" w:hint="eastAsia"/>
          <w:sz w:val="30"/>
          <w:szCs w:val="30"/>
        </w:rPr>
        <w:t xml:space="preserve">，主要原因是</w:t>
      </w:r>
      <w:r>
        <w:rPr>
          <w:rFonts w:eastAsia="仿宋_GB2312" w:hint="eastAsia"/>
          <w:sz w:val="30"/>
          <w:szCs w:val="30"/>
        </w:rPr>
        <w:t xml:space="preserve">本单位处于注销阶段，分流安置人员及相关费用支出增加，上级单位拨款增加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其他收入1,068,000.00元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社会保障和就业支出237,045.92元、卫生健康支出100,000.00元、交通运输支出730,954.08元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458959096"/>
      <w:bookmarkStart w:id="57" w:name="_Toc198940905"/>
      <w:bookmarkStart w:id="58" w:name="_Toc1538331348"/>
      <w:bookmarkStart w:id="59" w:name="_Toc1368772982"/>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w:t>
      </w:r>
      <w:r>
        <w:rPr>
          <w:rFonts w:eastAsia="仿宋_GB2312" w:hint="eastAsia"/>
          <w:sz w:val="30"/>
          <w:szCs w:val="30"/>
        </w:rPr>
        <w:t xml:space="preserve">2024年度本年收入合计</w:t>
      </w:r>
      <w:r>
        <w:rPr>
          <w:rFonts w:eastAsia="仿宋_GB2312" w:hint="eastAsia"/>
          <w:sz w:val="30"/>
          <w:szCs w:val="30"/>
        </w:rPr>
        <w:t xml:space="preserve">1,068,000.00</w:t>
      </w:r>
      <w:r>
        <w:rPr>
          <w:rFonts w:eastAsia="仿宋_GB2312" w:hint="eastAsia"/>
          <w:sz w:val="30"/>
          <w:szCs w:val="30"/>
        </w:rPr>
        <w:t xml:space="preserve">元，与2023年度相比</w:t>
      </w:r>
      <w:r>
        <w:rPr>
          <w:rFonts w:eastAsia="仿宋_GB2312" w:hint="eastAsia"/>
          <w:sz w:val="30"/>
          <w:szCs w:val="30"/>
        </w:rPr>
        <w:t xml:space="preserve">增加204,197.53元，</w:t>
      </w:r>
      <w:r>
        <w:rPr>
          <w:rFonts w:eastAsia="仿宋_GB2312" w:hint="eastAsia"/>
          <w:sz w:val="30"/>
          <w:szCs w:val="30"/>
        </w:rPr>
        <w:t xml:space="preserve">主要原因是</w:t>
      </w:r>
      <w:r>
        <w:rPr>
          <w:rFonts w:eastAsia="仿宋_GB2312" w:hint="eastAsia"/>
          <w:sz w:val="30"/>
          <w:szCs w:val="30"/>
        </w:rPr>
        <w:t xml:space="preserve">本单位处于注销阶段，分流安置人员及相关费用支出增加，上级单位拨款增加</w:t>
      </w:r>
      <w:r>
        <w:rPr>
          <w:rFonts w:eastAsia="仿宋_GB2312" w:hint="eastAsia"/>
          <w:sz w:val="30"/>
          <w:szCs w:val="30"/>
        </w:rPr>
        <w:t xml:space="preserve">。其中：</w:t>
      </w:r>
      <w:r>
        <w:rPr>
          <w:rFonts w:eastAsia="仿宋_GB2312" w:hint="eastAsia"/>
          <w:sz w:val="30"/>
          <w:szCs w:val="30"/>
        </w:rPr>
        <w:t xml:space="preserve">其他收入1,068,000.00元，占100.000%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757245026"/>
      <w:bookmarkStart w:id="61" w:name="_Toc1122681810"/>
      <w:bookmarkStart w:id="62" w:name="_Toc1179339603"/>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1,068,000.00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增加204,197.53元，</w:t>
      </w:r>
      <w:r>
        <w:rPr>
          <w:rFonts w:eastAsia="仿宋_GB2312" w:hint="eastAsia"/>
          <w:sz w:val="30"/>
          <w:szCs w:val="30"/>
        </w:rPr>
        <w:t xml:space="preserve">主要原因是</w:t>
      </w:r>
      <w:r>
        <w:rPr>
          <w:rFonts w:eastAsia="仿宋_GB2312" w:hint="eastAsia"/>
          <w:sz w:val="30"/>
          <w:szCs w:val="30"/>
        </w:rPr>
        <w:t xml:space="preserve">本单位处于注销阶段，分流安置人员及相关费用支出增加</w:t>
      </w:r>
      <w:r>
        <w:rPr>
          <w:rFonts w:eastAsia="仿宋_GB2312" w:hint="eastAsia"/>
          <w:sz w:val="30"/>
          <w:szCs w:val="30"/>
        </w:rPr>
        <w:t xml:space="preserve">。其中：</w:t>
      </w:r>
      <w:r>
        <w:rPr>
          <w:rFonts w:eastAsia="仿宋_GB2312" w:hint="eastAsia"/>
          <w:sz w:val="30"/>
          <w:szCs w:val="30"/>
        </w:rPr>
        <w:t xml:space="preserve">基本支出1,068,000.00元，占100.000%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2034129458"/>
      <w:bookmarkStart w:id="66" w:name="_Toc1029059860"/>
      <w:bookmarkStart w:id="67" w:name="_Toc1320487183"/>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天津市集体运输事业管理中心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本单位为自收自支单位，无财政拨款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723257729"/>
      <w:bookmarkStart w:id="69" w:name="_Toc163136636"/>
      <w:bookmarkStart w:id="70" w:name="_Toc1332076583"/>
      <w:bookmarkStart w:id="71" w:name="_Toc182162401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本单位为自收自支单位，无一般公共预算财政拨款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568131460"/>
      <w:bookmarkStart w:id="77" w:name="_Toc157358551"/>
      <w:bookmarkStart w:id="78" w:name="_Toc314288823"/>
      <w:bookmarkStart w:id="79" w:name="_Toc1070516966"/>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天津市集体运输事业管理中心2024年度无政府性基金预算财政拨款收入、支出和结转结余。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172797200"/>
      <w:bookmarkStart w:id="81" w:name="_Toc560652996"/>
      <w:bookmarkStart w:id="82" w:name="_Toc873153658"/>
      <w:bookmarkStart w:id="83" w:name="_Toc1589960188"/>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4" w:name="_Toc1884144383"/>
      <w:bookmarkStart w:id="85" w:name="_Toc1337770055"/>
      <w:bookmarkStart w:id="86" w:name="_Toc1321860095"/>
      <w:bookmarkStart w:id="87" w:name="_Toc1597628234"/>
      <w:r>
        <w:rPr>
          <w:rFonts w:ascii="黑体" w:eastAsia="黑体" w:hAnsi="黑体" w:cs="仿宋_GB2312" w:hint="eastAsia"/>
          <w:sz w:val="30"/>
          <w:szCs w:val="30"/>
        </w:rPr>
        <w:t xml:space="preserve">九、财政拨款“三公”经费支出决算情况说明</w:t>
      </w:r>
      <w:bookmarkEnd w:id="84"/>
      <w:bookmarkEnd w:id="85"/>
      <w:bookmarkEnd w:id="86"/>
      <w:bookmarkEnd w:id="87"/>
    </w:p>
    <w:p>
      <w:pPr>
        <w:spacing w:line="600" w:lineRule="exact"/>
        <w:ind w:firstLine="600" w:firstLineChars="200"/>
        <w:rPr>
          <w:rFonts w:ascii="楷体" w:eastAsia="楷体" w:hAnsi="楷体" w:cs="楷体"/>
          <w:b/>
          <w:bCs/>
          <w:sz w:val="30"/>
          <w:szCs w:val="30"/>
        </w:rPr>
      </w:pPr>
      <w:bookmarkStart w:id="88" w:name="_Toc784288450"/>
      <w:bookmarkStart w:id="89" w:name="_Toc99152753"/>
      <w:r>
        <w:rPr>
          <w:rFonts w:ascii="楷体" w:eastAsia="楷体" w:hAnsi="楷体" w:cs="楷体" w:hint="eastAsia"/>
          <w:b/>
          <w:bCs/>
          <w:sz w:val="30"/>
          <w:szCs w:val="30"/>
        </w:rPr>
        <w:t xml:space="preserve">（一）总体情况</w:t>
      </w:r>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决算数较上年持平的主要原因是本年度与上年度未用财政拨款经费列支“三公”经费。</w:t>
      </w:r>
    </w:p>
    <w:p>
      <w:pPr>
        <w:spacing w:line="600" w:lineRule="exact"/>
        <w:ind w:firstLine="600" w:firstLineChars="200"/>
        <w:rPr>
          <w:rFonts w:ascii="楷体" w:eastAsia="楷体" w:hAnsi="楷体" w:cs="楷体"/>
          <w:b/>
          <w:bCs/>
          <w:sz w:val="30"/>
          <w:szCs w:val="30"/>
        </w:rPr>
      </w:pPr>
      <w:bookmarkStart w:id="90" w:name="_Toc281353864"/>
      <w:bookmarkStart w:id="91" w:name="_Toc13009599"/>
      <w:r>
        <w:rPr>
          <w:rFonts w:ascii="楷体" w:eastAsia="楷体" w:hAnsi="楷体" w:cs="楷体" w:hint="eastAsia"/>
          <w:b/>
          <w:bCs/>
          <w:sz w:val="30"/>
          <w:szCs w:val="30"/>
        </w:rPr>
        <w:t xml:space="preserve">（二）具体情况</w:t>
      </w:r>
      <w:bookmarkEnd w:id="90"/>
      <w:bookmarkEnd w:id="91"/>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决算数较上年持平的主要原因是本年度与上年度均未用财政拨款经费列支因公出国（境）费。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决算数较上年持平的主要原因是本年度与上年度均未用财政拨款经费列支公务用车购置及运行维护费。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决算数较上年持平的主要原因是本年度与上年度均未用财政拨款经费列支公务用车运行维护费。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决算数较上年持平的主要原因是本年度与上年度均未用财政拨款经费列支公务用车购置费。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决算数较上年持平的主要原因是本年度与上年度均未用财政拨款经费列支公务接待费。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2" w:name="_Toc1349690397"/>
      <w:bookmarkStart w:id="93" w:name="_Toc2102885201"/>
      <w:bookmarkStart w:id="94" w:name="_Toc1895013942"/>
      <w:bookmarkStart w:id="95" w:name="_Toc20786419"/>
      <w:r>
        <w:rPr>
          <w:rFonts w:ascii="黑体" w:eastAsia="黑体" w:hAnsi="黑体" w:cs="仿宋_GB2312" w:hint="eastAsia"/>
          <w:sz w:val="30"/>
          <w:szCs w:val="30"/>
        </w:rPr>
        <w:t xml:space="preserve">十、机关运行经费支出情况说明</w:t>
      </w:r>
      <w:bookmarkEnd w:id="92"/>
      <w:bookmarkEnd w:id="93"/>
      <w:bookmarkEnd w:id="94"/>
      <w:bookmarkEnd w:id="95"/>
    </w:p>
    <w:p>
      <w:pPr>
        <w:spacing w:line="600" w:lineRule="exact"/>
        <w:ind w:firstLine="600" w:firstLineChars="200"/>
        <w:rPr>
          <w:rFonts w:eastAsia="仿宋_GB2312"/>
          <w:sz w:val="30"/>
          <w:szCs w:val="30"/>
        </w:rPr>
      </w:pPr>
      <w:r>
        <w:rPr>
          <w:rFonts w:eastAsia="仿宋_GB2312" w:hint="eastAsia"/>
          <w:sz w:val="30"/>
          <w:szCs w:val="30"/>
        </w:rPr>
        <w:t xml:space="preserve">天津市集体运输事业管理中心2024年度无机关运行经费。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6" w:name="_Toc376739118"/>
      <w:bookmarkStart w:id="97" w:name="_Toc2053194528"/>
      <w:bookmarkStart w:id="98" w:name="_Toc1464993319"/>
      <w:bookmarkStart w:id="99" w:name="_Toc169354537"/>
      <w:r>
        <w:rPr>
          <w:rFonts w:ascii="黑体" w:eastAsia="黑体" w:hAnsi="黑体" w:cs="仿宋_GB2312" w:hint="eastAsia"/>
          <w:sz w:val="30"/>
          <w:szCs w:val="30"/>
        </w:rPr>
        <w:t xml:space="preserve">十一、政府采购支出情况说明</w:t>
      </w:r>
      <w:bookmarkEnd w:id="96"/>
      <w:bookmarkEnd w:id="97"/>
      <w:bookmarkEnd w:id="98"/>
      <w:bookmarkEnd w:id="99"/>
    </w:p>
    <w:p>
      <w:pPr>
        <w:spacing w:line="600" w:lineRule="exact"/>
        <w:ind w:firstLine="600" w:firstLineChars="200"/>
        <w:jc w:val="both"/>
        <w:rPr>
          <w:rFonts w:eastAsia="仿宋_GB2312"/>
          <w:sz w:val="30"/>
          <w:szCs w:val="30"/>
        </w:rPr>
      </w:pPr>
      <w:r>
        <w:rPr>
          <w:rFonts w:eastAsia="仿宋_GB2312" w:hint="eastAsia"/>
          <w:sz w:val="30"/>
          <w:szCs w:val="30"/>
        </w:rPr>
        <w:t xml:space="preserve">天津市集体运输事业管理中心2024年度无政府采购支出。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100" w:name="_Toc125708453"/>
      <w:bookmarkStart w:id="101" w:name="_Toc1072564870"/>
      <w:bookmarkStart w:id="102" w:name="_Toc925871084"/>
      <w:bookmarkStart w:id="103" w:name="_Toc1242699578"/>
      <w:r>
        <w:rPr>
          <w:rFonts w:ascii="黑体" w:eastAsia="黑体" w:hAnsi="黑体" w:cs="仿宋_GB2312" w:hint="eastAsia"/>
          <w:sz w:val="30"/>
          <w:szCs w:val="30"/>
        </w:rPr>
        <w:t xml:space="preserve">十二、国有资产占有使用情况说明</w:t>
      </w:r>
      <w:bookmarkEnd w:id="100"/>
      <w:bookmarkEnd w:id="101"/>
      <w:bookmarkEnd w:id="102"/>
      <w:bookmarkEnd w:id="103"/>
    </w:p>
    <w:p>
      <w:pPr>
        <w:spacing w:line="600" w:lineRule="exact"/>
        <w:ind w:firstLine="600" w:firstLineChars="200"/>
        <w:jc w:val="both"/>
        <w:rPr>
          <w:rFonts w:eastAsia="仿宋_GB2312"/>
          <w:sz w:val="30"/>
          <w:szCs w:val="30"/>
        </w:rPr>
      </w:pPr>
      <w:bookmarkStart w:id="104" w:name="_Toc620037172"/>
      <w:r>
        <w:rPr>
          <w:rFonts w:eastAsia="仿宋_GB2312" w:hint="eastAsia"/>
          <w:sz w:val="30"/>
          <w:szCs w:val="30"/>
        </w:rPr>
        <w:t xml:space="preserve">天津市集体运输事业管理中心2024年度无国有资产占有使用情况。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105" w:name="_Toc448802626"/>
      <w:bookmarkStart w:id="106" w:name="_Toc1773340371"/>
      <w:bookmarkStart w:id="107" w:name="_Toc1805544570"/>
      <w:r>
        <w:rPr>
          <w:rFonts w:ascii="黑体" w:eastAsia="黑体" w:hAnsi="黑体" w:cs="仿宋_GB2312" w:hint="eastAsia"/>
          <w:sz w:val="30"/>
          <w:szCs w:val="30"/>
        </w:rPr>
        <w:t xml:space="preserve">十三、预算绩效情况说明</w:t>
      </w:r>
      <w:bookmarkEnd w:id="104"/>
      <w:bookmarkEnd w:id="105"/>
      <w:bookmarkEnd w:id="106"/>
      <w:bookmarkEnd w:id="107"/>
    </w:p>
    <w:p>
      <w:pPr>
        <w:spacing w:line="600" w:lineRule="exact"/>
        <w:jc w:val="both"/>
        <w:rPr>
          <w:rFonts w:eastAsia="仿宋_GB2312"/>
          <w:sz w:val="30"/>
          <w:szCs w:val="30"/>
        </w:rPr>
      </w:pPr>
      <w:r>
        <w:rPr>
          <w:rFonts w:eastAsia="仿宋_GB2312" w:hint="eastAsia"/>
          <w:sz w:val="30"/>
          <w:szCs w:val="30"/>
        </w:rPr>
        <w:t xml:space="preserve">    天津市集体运输事业管理中心2024年度没有项目支出,无需开展绩效自评。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8" w:name="_Toc1063166918"/>
      <w:bookmarkStart w:id="109" w:name="_Toc1843655880"/>
      <w:bookmarkStart w:id="110" w:name="_Toc1753562331"/>
      <w:bookmarkStart w:id="111" w:name="_Toc1374094560"/>
      <w:r>
        <w:rPr>
          <w:rFonts w:ascii="黑体" w:eastAsia="黑体" w:hAnsi="黑体" w:cs="仿宋_GB2312" w:hint="eastAsia"/>
          <w:sz w:val="30"/>
          <w:szCs w:val="30"/>
        </w:rPr>
        <w:t xml:space="preserve">十四、教育、医疗卫生、社会保障和就业、住房保障、涉农补贴等民生支出情况说明</w:t>
      </w:r>
      <w:bookmarkEnd w:id="108"/>
      <w:bookmarkEnd w:id="109"/>
      <w:bookmarkEnd w:id="110"/>
      <w:bookmarkEnd w:id="111"/>
    </w:p>
    <w:p>
      <w:pPr>
        <w:spacing w:line="600" w:lineRule="exact"/>
        <w:rPr>
          <w:rFonts w:eastAsia="楷体"/>
          <w:sz w:val="30"/>
          <w:szCs w:val="30"/>
        </w:rPr>
      </w:pPr>
      <w:r>
        <w:rPr>
          <w:rFonts w:eastAsia="仿宋_GB2312" w:hint="eastAsia"/>
          <w:sz w:val="30"/>
          <w:szCs w:val="30"/>
        </w:rPr>
        <w:t xml:space="preserve">    天津市集体运输事业管理中心不属于乡、镇、街级单位,不涉及公开2024年度教育、医疗卫生、社会保障和就业、住房保障、涉农补贴等民生支出情况。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2" w:name="_Toc282832597"/>
      <w:bookmarkStart w:id="113" w:name="_Toc368130082"/>
      <w:bookmarkStart w:id="114" w:name="_Toc56525689"/>
      <w:bookmarkStart w:id="115" w:name="_Toc1582447786"/>
      <w:r>
        <w:rPr>
          <w:rFonts w:ascii="方正小标宋简体" w:eastAsia="方正小标宋简体" w:hAnsi="方正小标宋简体" w:cs="方正小标宋简体" w:hint="eastAsia"/>
          <w:b w:val="0"/>
        </w:rPr>
        <w:t xml:space="preserve">第四部分  名词解释</w:t>
      </w:r>
      <w:bookmarkEnd w:id="112"/>
      <w:bookmarkEnd w:id="113"/>
      <w:bookmarkEnd w:id="114"/>
      <w:bookmarkEnd w:id="115"/>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